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2B141496" w:rsidR="00823F4C" w:rsidRPr="00A31CC1" w:rsidRDefault="00823F4C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457E90D4" w:rsidR="00BF7A42" w:rsidRPr="00A31CC1" w:rsidRDefault="00F57679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Arzinka</w:t>
      </w:r>
      <w:proofErr w:type="spellEnd"/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7364F2D0" w14:textId="6DEDF8CB" w:rsidR="00F57679" w:rsidRDefault="00F57679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proofErr w:type="spellStart"/>
      <w:r>
        <w:rPr>
          <w:rFonts w:cstheme="minorHAnsi"/>
          <w:snapToGrid w:val="0"/>
          <w:sz w:val="24"/>
          <w:szCs w:val="24"/>
        </w:rPr>
        <w:t>Paroxetina</w:t>
      </w:r>
      <w:proofErr w:type="spellEnd"/>
      <w:r w:rsidR="00712672">
        <w:rPr>
          <w:rFonts w:cstheme="minorHAnsi"/>
          <w:snapToGrid w:val="0"/>
          <w:sz w:val="24"/>
          <w:szCs w:val="24"/>
        </w:rPr>
        <w:t>, gocce orali 10 mg/ml</w:t>
      </w:r>
      <w:r>
        <w:rPr>
          <w:rFonts w:cstheme="minorHAnsi"/>
          <w:snapToGrid w:val="0"/>
          <w:sz w:val="24"/>
          <w:szCs w:val="24"/>
        </w:rPr>
        <w:t xml:space="preserve"> </w:t>
      </w:r>
      <w:r w:rsidR="004241AC" w:rsidRPr="00A31CC1">
        <w:rPr>
          <w:rFonts w:cstheme="minorHAnsi"/>
          <w:snapToGrid w:val="0"/>
          <w:sz w:val="24"/>
          <w:szCs w:val="24"/>
        </w:rPr>
        <w:t xml:space="preserve"> </w:t>
      </w:r>
    </w:p>
    <w:p w14:paraId="06324D0B" w14:textId="780A492A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CAC476" w14:textId="2D8D8E1D" w:rsidR="00EC3589" w:rsidRPr="00A31CC1" w:rsidRDefault="0071267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t>Laboratorio Farmaceutico CT S</w:t>
      </w:r>
      <w:r w:rsidR="00753B99">
        <w:t>.</w:t>
      </w:r>
      <w:r>
        <w:t>r</w:t>
      </w:r>
      <w:r w:rsidR="00753B99">
        <w:t>.</w:t>
      </w:r>
      <w:r>
        <w:t>l</w:t>
      </w:r>
      <w:r w:rsidR="00753B99">
        <w:t>.</w:t>
      </w:r>
      <w:r w:rsidR="00BF7A42"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3DB72C34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712672" w:rsidRPr="00712672">
        <w:rPr>
          <w:rFonts w:cstheme="minorHAnsi"/>
          <w:b/>
          <w:sz w:val="24"/>
          <w:szCs w:val="24"/>
        </w:rPr>
        <w:t>050891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1211C2F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proofErr w:type="spellStart"/>
      <w:r w:rsidR="00712672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proofErr w:type="spellStart"/>
      <w:r w:rsidR="00712672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proofErr w:type="spellStart"/>
      <w:r w:rsidR="00712672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7A76FDF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="00712672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184E89F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B445E0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EE96742" w14:textId="62B28A02" w:rsidR="00797416" w:rsidRPr="00A31CC1" w:rsidRDefault="00A31F6B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paroxetina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come:</w:t>
      </w:r>
    </w:p>
    <w:p w14:paraId="24E3192A" w14:textId="5DC39C3D" w:rsidR="00BB2AF8" w:rsidRPr="00A31CC1" w:rsidRDefault="00A31F6B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gocce orali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contenenti il principio attivo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alla concentrazione di </w:t>
      </w:r>
      <w:r w:rsidR="002A3CF3">
        <w:rPr>
          <w:rFonts w:eastAsia="Calibri" w:cstheme="minorHAnsi"/>
          <w:color w:val="000000"/>
          <w:sz w:val="24"/>
          <w:szCs w:val="24"/>
          <w:lang w:eastAsia="it-IT"/>
        </w:rPr>
        <w:t>10 mg per millilitro.</w:t>
      </w:r>
      <w:r w:rsidR="002A3CF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3749189B" w14:textId="77777777"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14:paraId="2ACAD7E3" w14:textId="6F932152" w:rsidR="00B03E01" w:rsidRPr="00A31CC1" w:rsidRDefault="002A3CF3" w:rsidP="004D4AC2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Seroxat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4D4AC2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4D4AC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4D4AC2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4D4AC2">
        <w:rPr>
          <w:rFonts w:eastAsia="Calibri" w:cstheme="minorHAnsi"/>
          <w:color w:val="000000"/>
          <w:sz w:val="24"/>
          <w:szCs w:val="24"/>
          <w:lang w:eastAsia="it-IT"/>
        </w:rPr>
        <w:t xml:space="preserve">almeno </w:t>
      </w:r>
      <w:r w:rsidR="00302265">
        <w:rPr>
          <w:rFonts w:eastAsia="Calibri" w:cstheme="minorHAnsi"/>
          <w:color w:val="000000"/>
          <w:sz w:val="24"/>
          <w:szCs w:val="24"/>
          <w:lang w:eastAsia="it-IT"/>
        </w:rPr>
        <w:t>8</w:t>
      </w:r>
      <w:r w:rsidR="002919AF" w:rsidRPr="004D4AC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C1489" w:rsidRPr="004D4AC2">
        <w:rPr>
          <w:rFonts w:eastAsia="Calibri" w:cstheme="minorHAnsi"/>
          <w:color w:val="000000"/>
          <w:sz w:val="24"/>
          <w:szCs w:val="24"/>
          <w:lang w:eastAsia="it-IT"/>
        </w:rPr>
        <w:t>anni</w:t>
      </w:r>
      <w:r w:rsidRPr="00B445E0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15135" w:rsidRPr="00A31CC1">
        <w:rPr>
          <w:rFonts w:cstheme="minorHAnsi"/>
          <w:color w:val="000000"/>
          <w:sz w:val="24"/>
          <w:szCs w:val="24"/>
        </w:rPr>
        <w:t> </w:t>
      </w:r>
      <w:proofErr w:type="spellStart"/>
      <w:r w:rsidR="00302265">
        <w:rPr>
          <w:rFonts w:cstheme="minorHAnsi"/>
          <w:color w:val="000000"/>
          <w:sz w:val="24"/>
          <w:szCs w:val="24"/>
        </w:rPr>
        <w:t>Arzinka</w:t>
      </w:r>
      <w:proofErr w:type="spellEnd"/>
      <w:r w:rsidR="00302265">
        <w:rPr>
          <w:rFonts w:cstheme="minorHAnsi"/>
          <w:color w:val="000000"/>
          <w:sz w:val="24"/>
          <w:szCs w:val="24"/>
        </w:rPr>
        <w:t xml:space="preserve"> può essere immesso in commercio solo dopo che sono trascorsi 10 anni dall’autorizzazione iniziale del medicinale di riferimento.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5B4C97" w:rsidRPr="00A31CC1">
        <w:rPr>
          <w:rFonts w:cstheme="minorHAnsi"/>
          <w:sz w:val="24"/>
          <w:szCs w:val="24"/>
        </w:rPr>
        <w:t>https://farmaci.agenziafarmaco.gov.it/bancadatifarmaci/home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Seroxat</w:t>
      </w:r>
      <w:proofErr w:type="spellEnd"/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42C8EC6B" w14:textId="77777777" w:rsidR="00445DB2" w:rsidRPr="00A31CC1" w:rsidRDefault="00445DB2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6B4F1C2" w14:textId="555A3223" w:rsidR="002A3CF3" w:rsidRPr="003C79DC" w:rsidRDefault="002A3CF3" w:rsidP="002A3CF3">
      <w:pPr>
        <w:suppressAutoHyphens/>
        <w:spacing w:before="100" w:beforeAutospacing="1" w:after="100" w:afterAutospacing="1"/>
        <w:contextualSpacing/>
        <w:jc w:val="both"/>
        <w:rPr>
          <w:rFonts w:cstheme="minorHAnsi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per</w:t>
      </w:r>
      <w:r>
        <w:rPr>
          <w:rFonts w:eastAsia="Calibri" w:cstheme="minorHAnsi"/>
          <w:sz w:val="24"/>
          <w:szCs w:val="24"/>
          <w:lang w:eastAsia="it-IT"/>
        </w:rPr>
        <w:t xml:space="preserve"> il trattamento di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: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276ECB6E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lastRenderedPageBreak/>
        <w:t>Episodio di depressione maggiore.</w:t>
      </w:r>
    </w:p>
    <w:p w14:paraId="607F08CF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ossessivo compulsivo.</w:t>
      </w:r>
    </w:p>
    <w:p w14:paraId="0481E2D7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da attacchi di panico con o senza agorafobia.</w:t>
      </w:r>
    </w:p>
    <w:p w14:paraId="05E80C54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d’ansia sociale/fobia sociale.</w:t>
      </w:r>
    </w:p>
    <w:p w14:paraId="322DAB2A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d’ansia generalizzata.</w:t>
      </w:r>
    </w:p>
    <w:p w14:paraId="1D0C2A06" w14:textId="77777777" w:rsidR="002A3CF3" w:rsidRPr="00BE06B6" w:rsidRDefault="002A3CF3" w:rsidP="002A3CF3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da stress post-traumatico.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46ACAD89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r w:rsidR="006F4B7A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444D4D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45F7ECF9" w:rsidR="00300BEA" w:rsidRPr="00A31CC1" w:rsidRDefault="002A3CF3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eastAsia="Calibri" w:hAnsiTheme="minorHAnsi" w:cstheme="minorHAnsi"/>
          <w:color w:val="000000"/>
          <w:sz w:val="24"/>
          <w:szCs w:val="24"/>
        </w:rPr>
        <w:t>Arzinka</w:t>
      </w:r>
      <w:proofErr w:type="spellEnd"/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</w:t>
      </w:r>
      <w:r w:rsidR="00C00346">
        <w:rPr>
          <w:rFonts w:asciiTheme="minorHAnsi" w:eastAsia="Calibri" w:hAnsiTheme="minorHAnsi" w:cstheme="minorHAnsi"/>
          <w:color w:val="000000"/>
          <w:sz w:val="24"/>
          <w:szCs w:val="24"/>
        </w:rPr>
        <w:t>).</w:t>
      </w:r>
    </w:p>
    <w:p w14:paraId="74E2D213" w14:textId="77777777" w:rsidR="001C15DF" w:rsidRPr="00A31CC1" w:rsidRDefault="001C15DF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32BB6D26" w14:textId="459800D2" w:rsidR="00BB2AF8" w:rsidRPr="00A31CC1" w:rsidRDefault="00BB2AF8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dose raccomandata </w:t>
      </w:r>
      <w:r w:rsidR="00EF6711" w:rsidRPr="00A31CC1">
        <w:rPr>
          <w:rFonts w:cstheme="minorHAnsi"/>
          <w:sz w:val="24"/>
          <w:szCs w:val="24"/>
        </w:rPr>
        <w:t>giornaliera</w:t>
      </w:r>
      <w:r w:rsidRPr="00A31CC1">
        <w:rPr>
          <w:rFonts w:cstheme="minorHAnsi"/>
          <w:sz w:val="24"/>
          <w:szCs w:val="24"/>
        </w:rPr>
        <w:t xml:space="preserve"> </w:t>
      </w:r>
      <w:r w:rsidR="001C15DF" w:rsidRPr="00A31CC1">
        <w:rPr>
          <w:rFonts w:cstheme="minorHAnsi"/>
          <w:sz w:val="24"/>
          <w:szCs w:val="24"/>
        </w:rPr>
        <w:t xml:space="preserve">negli adulti </w:t>
      </w:r>
      <w:r w:rsidRPr="00A31CC1">
        <w:rPr>
          <w:rFonts w:cstheme="minorHAnsi"/>
          <w:sz w:val="24"/>
          <w:szCs w:val="24"/>
        </w:rPr>
        <w:t xml:space="preserve">è di </w:t>
      </w:r>
      <w:r w:rsidR="00C00346">
        <w:rPr>
          <w:rFonts w:cstheme="minorHAnsi"/>
          <w:sz w:val="24"/>
          <w:szCs w:val="24"/>
        </w:rPr>
        <w:t>20</w:t>
      </w:r>
      <w:r w:rsidR="00C00346" w:rsidRPr="00A31CC1">
        <w:rPr>
          <w:rFonts w:cstheme="minorHAnsi"/>
          <w:sz w:val="24"/>
          <w:szCs w:val="24"/>
        </w:rPr>
        <w:t xml:space="preserve"> </w:t>
      </w:r>
      <w:r w:rsidR="00300BEA" w:rsidRPr="00A31CC1">
        <w:rPr>
          <w:rFonts w:cstheme="minorHAnsi"/>
          <w:sz w:val="24"/>
          <w:szCs w:val="24"/>
        </w:rPr>
        <w:t>mg</w:t>
      </w:r>
      <w:r w:rsidR="00C00346">
        <w:rPr>
          <w:rFonts w:cstheme="minorHAnsi"/>
          <w:sz w:val="24"/>
          <w:szCs w:val="24"/>
        </w:rPr>
        <w:t xml:space="preserve"> al giorno</w:t>
      </w:r>
      <w:r w:rsidR="00300BEA" w:rsidRPr="00A31CC1">
        <w:rPr>
          <w:rFonts w:cstheme="minorHAnsi"/>
          <w:sz w:val="24"/>
          <w:szCs w:val="24"/>
        </w:rPr>
        <w:t>,</w:t>
      </w:r>
      <w:r w:rsidR="00C00346">
        <w:rPr>
          <w:rFonts w:cstheme="minorHAnsi"/>
          <w:sz w:val="24"/>
          <w:szCs w:val="24"/>
        </w:rPr>
        <w:t xml:space="preserve"> corrispondenti a 28 gocce.</w:t>
      </w:r>
      <w:r w:rsidR="00300BEA" w:rsidRPr="00A31CC1">
        <w:rPr>
          <w:rFonts w:cstheme="minorHAnsi"/>
          <w:sz w:val="24"/>
          <w:szCs w:val="24"/>
        </w:rPr>
        <w:t xml:space="preserve"> </w:t>
      </w:r>
    </w:p>
    <w:p w14:paraId="5B572A43" w14:textId="77777777" w:rsidR="008A6FEC" w:rsidRPr="00A31CC1" w:rsidRDefault="008A6FEC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240E06AC" w14:textId="4A73B37E" w:rsidR="00C00346" w:rsidRPr="00444D4D" w:rsidRDefault="00C00346" w:rsidP="00C00346">
      <w:pPr>
        <w:suppressAutoHyphens/>
        <w:spacing w:before="100" w:beforeAutospacing="1" w:after="100" w:afterAutospacing="1"/>
        <w:contextualSpacing/>
        <w:jc w:val="both"/>
        <w:rPr>
          <w:rFonts w:cstheme="minorHAnsi"/>
          <w:sz w:val="24"/>
          <w:szCs w:val="24"/>
        </w:rPr>
      </w:pPr>
      <w:r w:rsidRPr="00444D4D">
        <w:rPr>
          <w:rFonts w:cstheme="minorHAnsi"/>
          <w:sz w:val="24"/>
          <w:szCs w:val="24"/>
        </w:rPr>
        <w:t xml:space="preserve">Il flacone è dotato di contagocce a pompetta colorata, un dispenser in vetro e un tappo anti-manomissione (1 ml corrisponde a 14 gocce di </w:t>
      </w:r>
      <w:proofErr w:type="spellStart"/>
      <w:r w:rsidRPr="00444D4D">
        <w:rPr>
          <w:rFonts w:cstheme="minorHAnsi"/>
          <w:sz w:val="24"/>
          <w:szCs w:val="24"/>
        </w:rPr>
        <w:t>paroxetina</w:t>
      </w:r>
      <w:proofErr w:type="spellEnd"/>
      <w:r w:rsidRPr="00444D4D">
        <w:rPr>
          <w:rFonts w:cstheme="minorHAnsi"/>
          <w:sz w:val="24"/>
          <w:szCs w:val="24"/>
        </w:rPr>
        <w:t xml:space="preserve"> base libera).</w:t>
      </w:r>
    </w:p>
    <w:p w14:paraId="4922C8B4" w14:textId="77777777" w:rsidR="00C00346" w:rsidRPr="00444D4D" w:rsidRDefault="00C00346" w:rsidP="00C00346">
      <w:pPr>
        <w:suppressAutoHyphens/>
        <w:spacing w:before="100" w:beforeAutospacing="1" w:after="100" w:afterAutospacing="1"/>
        <w:contextualSpacing/>
        <w:jc w:val="both"/>
        <w:rPr>
          <w:rFonts w:cstheme="minorHAnsi"/>
          <w:sz w:val="24"/>
          <w:szCs w:val="24"/>
        </w:rPr>
      </w:pPr>
      <w:r w:rsidRPr="00444D4D">
        <w:rPr>
          <w:rFonts w:cstheme="minorHAnsi"/>
          <w:sz w:val="24"/>
          <w:szCs w:val="24"/>
        </w:rPr>
        <w:t xml:space="preserve">1 goccia corrisponde a 0,7143 mg di </w:t>
      </w:r>
      <w:proofErr w:type="spellStart"/>
      <w:r w:rsidRPr="00444D4D">
        <w:rPr>
          <w:rFonts w:cstheme="minorHAnsi"/>
          <w:sz w:val="24"/>
          <w:szCs w:val="24"/>
        </w:rPr>
        <w:t>paroxetina</w:t>
      </w:r>
      <w:proofErr w:type="spellEnd"/>
      <w:r w:rsidRPr="00444D4D">
        <w:rPr>
          <w:rFonts w:cstheme="minorHAnsi"/>
          <w:sz w:val="24"/>
          <w:szCs w:val="24"/>
        </w:rPr>
        <w:t xml:space="preserve"> base libera.</w:t>
      </w:r>
    </w:p>
    <w:p w14:paraId="439AC896" w14:textId="70199C03" w:rsidR="00C00346" w:rsidRPr="00444D4D" w:rsidRDefault="00C00346" w:rsidP="00C003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44D4D">
        <w:rPr>
          <w:rFonts w:cstheme="minorHAnsi"/>
          <w:sz w:val="24"/>
          <w:szCs w:val="24"/>
        </w:rPr>
        <w:t xml:space="preserve">La posologia può essere prelevata sia con il </w:t>
      </w:r>
      <w:proofErr w:type="spellStart"/>
      <w:r w:rsidRPr="00444D4D">
        <w:rPr>
          <w:rFonts w:cstheme="minorHAnsi"/>
          <w:sz w:val="24"/>
          <w:szCs w:val="24"/>
        </w:rPr>
        <w:t>contagoccia</w:t>
      </w:r>
      <w:proofErr w:type="spellEnd"/>
      <w:r w:rsidRPr="00444D4D">
        <w:rPr>
          <w:rFonts w:cstheme="minorHAnsi"/>
          <w:sz w:val="24"/>
          <w:szCs w:val="24"/>
        </w:rPr>
        <w:t xml:space="preserve"> in ml che in gocce. Il volume massimo somministrabile con le gocce in una singola soluzione è 28 gocce = 20 mg, per dosaggi maggiori si deve ripetere il prelievo.</w:t>
      </w:r>
    </w:p>
    <w:p w14:paraId="5B80AC52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48EC5465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444D4D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641C26E8" w14:textId="3D886ADC" w:rsidR="00BB2AF8" w:rsidRPr="00A31CC1" w:rsidRDefault="00C00346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Pr="00C00346">
        <w:rPr>
          <w:rFonts w:cstheme="minorHAnsi"/>
          <w:sz w:val="24"/>
          <w:szCs w:val="24"/>
        </w:rPr>
        <w:t>N06AB05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paroxetina</w:t>
      </w:r>
      <w:proofErr w:type="spellEnd"/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>appartiene alla classe de</w:t>
      </w:r>
      <w:r>
        <w:rPr>
          <w:rFonts w:cstheme="minorHAnsi"/>
          <w:sz w:val="24"/>
          <w:szCs w:val="24"/>
        </w:rPr>
        <w:t xml:space="preserve">gli inibitori selettivi della </w:t>
      </w:r>
      <w:proofErr w:type="spellStart"/>
      <w:r>
        <w:rPr>
          <w:rFonts w:cstheme="minorHAnsi"/>
          <w:sz w:val="24"/>
          <w:szCs w:val="24"/>
        </w:rPr>
        <w:t>ricaptazione</w:t>
      </w:r>
      <w:proofErr w:type="spellEnd"/>
      <w:r>
        <w:rPr>
          <w:rFonts w:cstheme="minorHAnsi"/>
          <w:sz w:val="24"/>
          <w:szCs w:val="24"/>
        </w:rPr>
        <w:t xml:space="preserve"> del neurotrasmettitore serotonina</w:t>
      </w:r>
      <w:r w:rsidR="00BB2AF8" w:rsidRPr="00A31CC1">
        <w:rPr>
          <w:rFonts w:cstheme="minorHAnsi"/>
          <w:sz w:val="24"/>
          <w:szCs w:val="24"/>
        </w:rPr>
        <w:t xml:space="preserve"> e agisce </w:t>
      </w:r>
      <w:r>
        <w:rPr>
          <w:rFonts w:cstheme="minorHAnsi"/>
          <w:sz w:val="24"/>
          <w:szCs w:val="24"/>
        </w:rPr>
        <w:t>aumentando la permanenza della serotonina nello spazio sinaptico prolungando così l’azione del neurotrasmettitore sul neurone post-sinaptico.</w:t>
      </w:r>
    </w:p>
    <w:p w14:paraId="270D7D9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7AF80442" w:rsidR="00BB2AF8" w:rsidRPr="0077784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777848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444D4D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Pr="00777848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61332333" w14:textId="7AC88FAE" w:rsidR="00CB187D" w:rsidRPr="00A31CC1" w:rsidRDefault="00CB187D" w:rsidP="00CB187D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un medicinale generico. Poiché il profilo di sicurezza e l’efficacia del principio attivo di </w:t>
      </w:r>
      <w:proofErr w:type="spellStart"/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 </w:t>
      </w:r>
      <w:r w:rsidRPr="00A31CC1">
        <w:rPr>
          <w:rFonts w:cstheme="minorHAnsi"/>
          <w:sz w:val="24"/>
          <w:szCs w:val="24"/>
        </w:rPr>
        <w:t>è</w:t>
      </w:r>
      <w:proofErr w:type="gramEnd"/>
      <w:r w:rsidRPr="00A31CC1">
        <w:rPr>
          <w:rFonts w:cstheme="minorHAnsi"/>
          <w:sz w:val="24"/>
          <w:szCs w:val="24"/>
        </w:rPr>
        <w:t xml:space="preserve"> ben conosciuto in quanto il medicinale di riferimento è autorizzato o è stato autorizzato da almeno 8 anni nell’Unione europea, a supporto dell’efficacia e della sicurezza di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effettuate prove cliniche di confronto con il medicinale di riferimento per determinare</w:t>
      </w:r>
      <w:r w:rsidRPr="00A31CC1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la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rispetto al medicinale di riferimento </w:t>
      </w:r>
      <w:proofErr w:type="spellStart"/>
      <w:r>
        <w:rPr>
          <w:rFonts w:cstheme="minorHAnsi"/>
          <w:sz w:val="24"/>
          <w:szCs w:val="24"/>
        </w:rPr>
        <w:t>Seroxat</w:t>
      </w:r>
      <w:proofErr w:type="spellEnd"/>
      <w:r>
        <w:rPr>
          <w:rFonts w:cstheme="minorHAnsi"/>
          <w:sz w:val="24"/>
          <w:szCs w:val="24"/>
        </w:rPr>
        <w:t>.</w:t>
      </w:r>
      <w:r w:rsidRPr="00A31CC1">
        <w:rPr>
          <w:rFonts w:cstheme="minorHAnsi"/>
          <w:sz w:val="24"/>
          <w:szCs w:val="24"/>
        </w:rPr>
        <w:t xml:space="preserve"> Due medicinali sono </w:t>
      </w:r>
      <w:proofErr w:type="spellStart"/>
      <w:r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 xml:space="preserve"> quando producono gli stessi livelli di principio attivo nell’organismo. </w:t>
      </w:r>
    </w:p>
    <w:p w14:paraId="01DA3A51" w14:textId="77777777" w:rsidR="00CB187D" w:rsidRPr="00A31CC1" w:rsidRDefault="00CB187D" w:rsidP="00CB18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8A324A" w14:textId="77777777" w:rsidR="00CB187D" w:rsidRPr="00A31CC1" w:rsidRDefault="00CB187D" w:rsidP="00CB18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5EC8E674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C65CEC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19F65C8A" w:rsidR="00BB2AF8" w:rsidRPr="00A31CC1" w:rsidRDefault="00EF364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33D4DA1F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F46082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="00F46082"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="006070E8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2F1F1380" w14:textId="6FC9FB37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0E696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0E6961">
        <w:rPr>
          <w:rFonts w:eastAsia="Calibri" w:cstheme="minorHAnsi"/>
          <w:sz w:val="24"/>
          <w:szCs w:val="24"/>
          <w:lang w:eastAsia="it-IT"/>
        </w:rPr>
        <w:t>Seroxat</w:t>
      </w:r>
      <w:proofErr w:type="spellEnd"/>
      <w:r w:rsidR="000E6961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proofErr w:type="spellStart"/>
      <w:r w:rsidR="000E6961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superiori ai rischi individuati.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lastRenderedPageBreak/>
        <w:t>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</w:t>
      </w:r>
      <w:r w:rsidR="003F1188">
        <w:rPr>
          <w:rFonts w:eastAsia="Calibri" w:cstheme="minorHAnsi"/>
          <w:sz w:val="24"/>
          <w:szCs w:val="24"/>
          <w:lang w:eastAsia="it-IT"/>
        </w:rPr>
        <w:t>come vendibile sotto presentazione di ricetta medica</w:t>
      </w:r>
      <w:r w:rsidR="003F1188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e la classe </w:t>
      </w:r>
      <w:r w:rsidR="006E4401">
        <w:rPr>
          <w:rFonts w:eastAsia="Calibri" w:cstheme="minorHAnsi"/>
          <w:sz w:val="24"/>
          <w:szCs w:val="24"/>
          <w:lang w:eastAsia="it-IT"/>
        </w:rPr>
        <w:t xml:space="preserve">A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di rimborsabilità del medicinale</w:t>
      </w:r>
      <w:r w:rsidR="000E6961">
        <w:rPr>
          <w:rFonts w:eastAsia="Calibri" w:cstheme="minorHAnsi"/>
          <w:sz w:val="24"/>
          <w:szCs w:val="24"/>
          <w:lang w:eastAsia="it-IT"/>
        </w:rPr>
        <w:t xml:space="preserve">. 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25625400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FB48F6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5FD2C2BE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C51EFC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29EDA1F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proofErr w:type="spellStart"/>
      <w:r w:rsidR="0081009B">
        <w:rPr>
          <w:rFonts w:eastAsia="Calibri" w:cstheme="minorHAnsi"/>
          <w:b/>
          <w:color w:val="000000"/>
          <w:sz w:val="24"/>
          <w:szCs w:val="24"/>
          <w:lang w:eastAsia="it-IT"/>
        </w:rPr>
        <w:t>Arzinka</w:t>
      </w:r>
      <w:proofErr w:type="spellEnd"/>
    </w:p>
    <w:p w14:paraId="317999E8" w14:textId="5D0003C9" w:rsidR="004241AC" w:rsidRPr="00A31CC1" w:rsidRDefault="0081009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>n data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>8 marzo 2025</w:t>
      </w:r>
      <w:r w:rsidR="004241AC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4241AC"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1E6B60B3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proofErr w:type="spellStart"/>
      <w:r w:rsidR="006E4401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567615" w:rsidRPr="00A31CC1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https://farmaci.agenziafarmaco.gov.it/bancadatifarmaci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70DAB593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137392">
        <w:rPr>
          <w:rFonts w:eastAsia="Calibri" w:cstheme="minorHAnsi"/>
          <w:sz w:val="24"/>
          <w:szCs w:val="24"/>
          <w:lang w:eastAsia="it-IT"/>
        </w:rPr>
        <w:t>01/12/2025.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55074D6B" w:rsidR="006070E8" w:rsidRDefault="006070E8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0BFDD82E" w:rsidR="006070E8" w:rsidRDefault="006070E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325E98B9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9A5361" w:rsidRPr="009A5361">
        <w:rPr>
          <w:rFonts w:cstheme="minorHAnsi"/>
          <w:sz w:val="24"/>
          <w:szCs w:val="24"/>
        </w:rPr>
        <w:t>Laboratorio Farmaceutico CT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proofErr w:type="spellStart"/>
      <w:r w:rsidR="009A5361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9A5361">
        <w:rPr>
          <w:rFonts w:eastAsia="Calibri" w:cstheme="minorHAnsi"/>
          <w:bCs/>
          <w:iCs/>
          <w:sz w:val="24"/>
          <w:szCs w:val="24"/>
          <w:lang w:eastAsia="it-IT"/>
        </w:rPr>
        <w:t>8 marzo 2025.</w:t>
      </w:r>
      <w:r w:rsidRPr="00A31CC1">
        <w:rPr>
          <w:rFonts w:cstheme="minorHAnsi"/>
          <w:sz w:val="24"/>
          <w:szCs w:val="24"/>
        </w:rPr>
        <w:t xml:space="preserve"> 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4C38F66C" w:rsidR="004E5A39" w:rsidRPr="00A31CC1" w:rsidRDefault="009A5361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presentazione di ricetta medica.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43E227D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9A5361">
        <w:rPr>
          <w:rFonts w:cstheme="minorHAnsi"/>
          <w:sz w:val="24"/>
          <w:szCs w:val="24"/>
        </w:rPr>
        <w:t>10(1)</w:t>
      </w:r>
      <w:r w:rsidR="009A5361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9A5361">
        <w:rPr>
          <w:rFonts w:cstheme="minorHAnsi"/>
          <w:sz w:val="24"/>
          <w:szCs w:val="24"/>
        </w:rPr>
        <w:t>generic</w:t>
      </w:r>
      <w:proofErr w:type="spellEnd"/>
      <w:r w:rsidR="009A5361">
        <w:rPr>
          <w:rFonts w:cstheme="minorHAnsi"/>
          <w:sz w:val="24"/>
          <w:szCs w:val="24"/>
        </w:rPr>
        <w:t xml:space="preserve"> </w:t>
      </w:r>
      <w:proofErr w:type="spellStart"/>
      <w:r w:rsidR="009A5361">
        <w:rPr>
          <w:rFonts w:cstheme="minorHAnsi"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9A5361">
        <w:rPr>
          <w:rFonts w:cstheme="minorHAnsi"/>
          <w:sz w:val="24"/>
          <w:szCs w:val="24"/>
        </w:rPr>
        <w:t>.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186985D3" w:rsidR="004E5A39" w:rsidRPr="00A31CC1" w:rsidRDefault="009A5361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76F77" w:rsidRPr="00BE06B6">
        <w:rPr>
          <w:rFonts w:eastAsia="Calibri" w:cstheme="minorHAnsi"/>
          <w:sz w:val="24"/>
          <w:szCs w:val="24"/>
          <w:lang w:eastAsia="it-IT"/>
        </w:rPr>
        <w:t>(</w:t>
      </w:r>
      <w:proofErr w:type="spellStart"/>
      <w:r w:rsidR="006726F3">
        <w:rPr>
          <w:rFonts w:eastAsia="Calibri" w:cstheme="minorHAnsi"/>
          <w:sz w:val="24"/>
          <w:szCs w:val="24"/>
          <w:lang w:eastAsia="it-IT"/>
        </w:rPr>
        <w:t>paroxetina</w:t>
      </w:r>
      <w:proofErr w:type="spellEnd"/>
      <w:r w:rsidR="00F76F77" w:rsidRPr="00BE06B6">
        <w:rPr>
          <w:rFonts w:eastAsia="Calibri" w:cstheme="minorHAnsi"/>
          <w:sz w:val="24"/>
          <w:szCs w:val="24"/>
          <w:lang w:eastAsia="it-IT"/>
        </w:rPr>
        <w:t>)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 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proofErr w:type="spellStart"/>
      <w:r w:rsidR="000174B7">
        <w:rPr>
          <w:rFonts w:eastAsia="Calibri" w:cstheme="minorHAnsi"/>
          <w:sz w:val="24"/>
          <w:szCs w:val="24"/>
          <w:lang w:eastAsia="it-IT"/>
        </w:rPr>
        <w:t>Seroxat</w:t>
      </w:r>
      <w:proofErr w:type="spellEnd"/>
      <w:r w:rsidR="000174B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>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2C5DC8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0174B7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A21CE17" w14:textId="3CFB035E" w:rsidR="00EF6711" w:rsidRPr="00A31CC1" w:rsidRDefault="00537A5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Pr="00537A5D">
        <w:rPr>
          <w:rFonts w:cstheme="minorHAnsi"/>
          <w:sz w:val="24"/>
          <w:szCs w:val="24"/>
        </w:rPr>
        <w:t>N06AB05</w:t>
      </w:r>
      <w:r>
        <w:rPr>
          <w:rFonts w:cstheme="minorHAnsi"/>
          <w:sz w:val="24"/>
          <w:szCs w:val="24"/>
        </w:rPr>
        <w:t xml:space="preserve">,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paroxetina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cloridrato emiidrato</w:t>
      </w:r>
      <w:r w:rsidR="00B1186F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proofErr w:type="spellStart"/>
      <w:r w:rsidRPr="00537A5D">
        <w:rPr>
          <w:rFonts w:eastAsia="Calibri" w:cstheme="minorHAnsi"/>
          <w:bCs/>
          <w:sz w:val="24"/>
          <w:szCs w:val="24"/>
          <w:lang w:eastAsia="it-IT"/>
        </w:rPr>
        <w:t>Paroxetina</w:t>
      </w:r>
      <w:proofErr w:type="spellEnd"/>
      <w:r w:rsidRPr="00537A5D">
        <w:rPr>
          <w:rFonts w:eastAsia="Calibri" w:cstheme="minorHAnsi"/>
          <w:bCs/>
          <w:sz w:val="24"/>
          <w:szCs w:val="24"/>
          <w:lang w:eastAsia="it-IT"/>
        </w:rPr>
        <w:t xml:space="preserve"> è un potente e selettivo inibitore della </w:t>
      </w:r>
      <w:proofErr w:type="spellStart"/>
      <w:r w:rsidRPr="00537A5D">
        <w:rPr>
          <w:rFonts w:eastAsia="Calibri" w:cstheme="minorHAnsi"/>
          <w:bCs/>
          <w:sz w:val="24"/>
          <w:szCs w:val="24"/>
          <w:lang w:eastAsia="it-IT"/>
        </w:rPr>
        <w:t>ricaptazione</w:t>
      </w:r>
      <w:proofErr w:type="spellEnd"/>
      <w:r w:rsidRPr="00537A5D">
        <w:rPr>
          <w:rFonts w:eastAsia="Calibri" w:cstheme="minorHAnsi"/>
          <w:bCs/>
          <w:sz w:val="24"/>
          <w:szCs w:val="24"/>
          <w:lang w:eastAsia="it-IT"/>
        </w:rPr>
        <w:t xml:space="preserve"> della 5-idrossitriptamina (5-HT; serotonina);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 in quanto tale la sua azione induce un aumento dell’emivita della serotonina nel vallo sinaptico poiché non </w:t>
      </w:r>
      <w:proofErr w:type="spellStart"/>
      <w:r>
        <w:rPr>
          <w:rFonts w:eastAsia="Calibri" w:cstheme="minorHAnsi"/>
          <w:bCs/>
          <w:sz w:val="24"/>
          <w:szCs w:val="24"/>
          <w:lang w:eastAsia="it-IT"/>
        </w:rPr>
        <w:t>ricaptata</w:t>
      </w:r>
      <w:proofErr w:type="spellEnd"/>
      <w:r>
        <w:rPr>
          <w:rFonts w:eastAsia="Calibri" w:cstheme="minorHAnsi"/>
          <w:bCs/>
          <w:sz w:val="24"/>
          <w:szCs w:val="24"/>
          <w:lang w:eastAsia="it-IT"/>
        </w:rPr>
        <w:t xml:space="preserve"> dal trasportatore target. In termini fisiologici, la </w:t>
      </w:r>
      <w:proofErr w:type="spellStart"/>
      <w:r>
        <w:rPr>
          <w:rFonts w:eastAsia="Calibri" w:cstheme="minorHAnsi"/>
          <w:bCs/>
          <w:sz w:val="24"/>
          <w:szCs w:val="24"/>
          <w:lang w:eastAsia="it-IT"/>
        </w:rPr>
        <w:t>paroxetina</w:t>
      </w:r>
      <w:proofErr w:type="spellEnd"/>
      <w:r>
        <w:rPr>
          <w:rFonts w:eastAsia="Calibri" w:cstheme="minorHAnsi"/>
          <w:bCs/>
          <w:sz w:val="24"/>
          <w:szCs w:val="24"/>
          <w:lang w:eastAsia="it-IT"/>
        </w:rPr>
        <w:t xml:space="preserve"> determina un aumento della stimolazione dei circuiti serotoninergici che sono le strutture cerebrali che sottendono all’effetto richiesto (vedere indicazioni).</w:t>
      </w:r>
    </w:p>
    <w:p w14:paraId="608AB5B5" w14:textId="514EEDC5" w:rsidR="00842B10" w:rsidRDefault="00842B10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>
        <w:rPr>
          <w:rFonts w:cstheme="minorHAnsi"/>
          <w:sz w:val="24"/>
          <w:szCs w:val="24"/>
        </w:rPr>
        <w:t xml:space="preserve"> il trattamento di:</w:t>
      </w:r>
    </w:p>
    <w:p w14:paraId="6CB8A742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Episodio di depressione maggiore.</w:t>
      </w:r>
    </w:p>
    <w:p w14:paraId="02F583F2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Disturbo ossessivo compulsivo.</w:t>
      </w:r>
    </w:p>
    <w:p w14:paraId="1FD37CDC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Disturbo da attacchi di panico con o senza agorafobia.</w:t>
      </w:r>
    </w:p>
    <w:p w14:paraId="0F69C245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Disturbo d’ansia sociale/fobia sociale.</w:t>
      </w:r>
    </w:p>
    <w:p w14:paraId="674E79FA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Disturbo d’ansia generalizzata.</w:t>
      </w:r>
    </w:p>
    <w:p w14:paraId="48AA4C67" w14:textId="77777777" w:rsidR="00842B10" w:rsidRPr="006070E8" w:rsidRDefault="00842B10" w:rsidP="00842B1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6070E8">
        <w:rPr>
          <w:rFonts w:cstheme="minorHAnsi"/>
          <w:sz w:val="24"/>
          <w:szCs w:val="24"/>
        </w:rPr>
        <w:t>Disturbo da stress post-traumatico.</w:t>
      </w:r>
    </w:p>
    <w:p w14:paraId="51D194AC" w14:textId="533B545C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che ha confrontato i profili farmacocinetici del medicinale test </w:t>
      </w:r>
      <w:proofErr w:type="spellStart"/>
      <w:r w:rsidR="00B92328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9232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B92328">
        <w:rPr>
          <w:rFonts w:cstheme="minorHAnsi"/>
          <w:sz w:val="24"/>
          <w:szCs w:val="24"/>
        </w:rPr>
        <w:t>Seroxat</w:t>
      </w:r>
      <w:proofErr w:type="spellEnd"/>
      <w:r w:rsidR="00B92328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autorizzato in Italia</w:t>
      </w:r>
      <w:r w:rsidR="00B92328">
        <w:rPr>
          <w:rFonts w:eastAsia="Calibri" w:cstheme="minorHAnsi"/>
          <w:sz w:val="24"/>
          <w:szCs w:val="24"/>
          <w:lang w:eastAsia="it-IT"/>
        </w:rPr>
        <w:t>.</w:t>
      </w:r>
    </w:p>
    <w:p w14:paraId="70417A0D" w14:textId="6FAF76C4" w:rsidR="0042214D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è stato condotto in conformità alle linee guida di Buona Pratica Clinica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Clinical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GCP).</w:t>
      </w:r>
    </w:p>
    <w:p w14:paraId="396C2B0C" w14:textId="05BC504B" w:rsidR="00E14559" w:rsidRDefault="00E14559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21FEB371" w:rsidR="00B862C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C244DE" w:rsidRPr="00A31CC1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F964BE" w:rsidRPr="00A31CC1">
        <w:rPr>
          <w:rFonts w:cstheme="minorHAnsi"/>
          <w:sz w:val="24"/>
          <w:szCs w:val="24"/>
        </w:rPr>
        <w:t xml:space="preserve"> </w:t>
      </w:r>
    </w:p>
    <w:p w14:paraId="6C1716AA" w14:textId="4AB1330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D6970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016CCC17" w14:textId="68843209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ASPETTI DI QUALITA’</w:t>
      </w:r>
    </w:p>
    <w:p w14:paraId="32807C5B" w14:textId="77777777" w:rsidR="00E02479" w:rsidRPr="00A31CC1" w:rsidRDefault="00E02479" w:rsidP="00E02479">
      <w:pPr>
        <w:pStyle w:val="Paragrafoelenco"/>
        <w:spacing w:after="0" w:line="240" w:lineRule="auto"/>
        <w:ind w:left="1800"/>
        <w:jc w:val="both"/>
        <w:rPr>
          <w:rFonts w:cstheme="minorHAnsi"/>
          <w:b/>
          <w:sz w:val="24"/>
          <w:szCs w:val="24"/>
        </w:rPr>
      </w:pPr>
    </w:p>
    <w:p w14:paraId="7D0E7D57" w14:textId="77E11AE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proofErr w:type="spellStart"/>
      <w:r w:rsidR="00E77B1B">
        <w:rPr>
          <w:rFonts w:cstheme="minorHAnsi"/>
          <w:b/>
          <w:sz w:val="24"/>
          <w:szCs w:val="24"/>
        </w:rPr>
        <w:t>Paroxetina</w:t>
      </w:r>
      <w:proofErr w:type="spellEnd"/>
    </w:p>
    <w:p w14:paraId="2FEB5D4E" w14:textId="5EB9A4EE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chimico</w:t>
      </w:r>
      <w:r w:rsidR="00E77B1B">
        <w:rPr>
          <w:rFonts w:cstheme="minorHAnsi"/>
          <w:sz w:val="24"/>
          <w:szCs w:val="24"/>
          <w:u w:val="single"/>
        </w:rPr>
        <w:t>:</w:t>
      </w:r>
      <w:r w:rsidR="000E4494" w:rsidRPr="00A31CC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="00E77B1B">
        <w:rPr>
          <w:rFonts w:cstheme="minorHAnsi"/>
          <w:sz w:val="24"/>
          <w:szCs w:val="24"/>
        </w:rPr>
        <w:t>Paroxetina</w:t>
      </w:r>
      <w:proofErr w:type="spellEnd"/>
      <w:r w:rsidR="00E77B1B">
        <w:rPr>
          <w:rFonts w:cstheme="minorHAnsi"/>
          <w:sz w:val="24"/>
          <w:szCs w:val="24"/>
        </w:rPr>
        <w:t xml:space="preserve"> </w:t>
      </w:r>
      <w:r w:rsidR="00E77B1B" w:rsidRPr="00E77B1B">
        <w:rPr>
          <w:rFonts w:cstheme="minorHAnsi"/>
          <w:sz w:val="24"/>
          <w:szCs w:val="24"/>
        </w:rPr>
        <w:t>cloridrato emiidrato</w:t>
      </w: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7F33D0FB" w14:textId="233FBE7B" w:rsidR="00E77B1B" w:rsidRDefault="00E77B1B" w:rsidP="00EF6711">
      <w:pPr>
        <w:spacing w:after="0" w:line="240" w:lineRule="auto"/>
        <w:jc w:val="center"/>
        <w:rPr>
          <w:rFonts w:cstheme="minorHAnsi"/>
          <w:b/>
          <w:i/>
          <w:noProof/>
          <w:sz w:val="24"/>
          <w:szCs w:val="24"/>
          <w:lang w:eastAsia="it-IT"/>
        </w:rPr>
      </w:pPr>
    </w:p>
    <w:p w14:paraId="50F31C59" w14:textId="0CCFEDB6" w:rsidR="00127490" w:rsidRDefault="00127490" w:rsidP="00EF6711">
      <w:pPr>
        <w:spacing w:after="0" w:line="240" w:lineRule="auto"/>
        <w:jc w:val="center"/>
        <w:rPr>
          <w:rFonts w:cstheme="minorHAnsi"/>
          <w:b/>
          <w:i/>
          <w:noProof/>
          <w:sz w:val="24"/>
          <w:szCs w:val="24"/>
          <w:lang w:eastAsia="it-IT"/>
        </w:rPr>
      </w:pPr>
      <w:r w:rsidRPr="00127490">
        <w:rPr>
          <w:rFonts w:cstheme="minorHAnsi"/>
          <w:b/>
          <w:i/>
          <w:noProof/>
          <w:sz w:val="24"/>
          <w:szCs w:val="24"/>
          <w:lang w:eastAsia="it-IT"/>
        </w:rPr>
        <w:drawing>
          <wp:inline distT="0" distB="0" distL="0" distR="0" wp14:anchorId="09D4BAF4" wp14:editId="1E49B5CB">
            <wp:extent cx="255270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74799" w14:textId="77777777" w:rsidR="004E5A39" w:rsidRPr="00A31CC1" w:rsidRDefault="004E5A39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35D29F89" w14:textId="36302C5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127490">
        <w:rPr>
          <w:rFonts w:ascii="Times New Roman" w:hAnsi="Times New Roman" w:cs="Times New Roman"/>
          <w:sz w:val="24"/>
          <w:szCs w:val="24"/>
        </w:rPr>
        <w:t>C</w:t>
      </w:r>
      <w:r w:rsidR="00127490">
        <w:rPr>
          <w:rFonts w:ascii="Times New Roman" w:hAnsi="Times New Roman" w:cs="Times New Roman"/>
          <w:sz w:val="16"/>
          <w:szCs w:val="16"/>
        </w:rPr>
        <w:t>19</w:t>
      </w:r>
      <w:r w:rsidR="00127490">
        <w:rPr>
          <w:rFonts w:ascii="Times New Roman" w:hAnsi="Times New Roman" w:cs="Times New Roman"/>
          <w:sz w:val="24"/>
          <w:szCs w:val="24"/>
        </w:rPr>
        <w:t>H</w:t>
      </w:r>
      <w:r w:rsidR="00127490">
        <w:rPr>
          <w:rFonts w:ascii="Times New Roman" w:hAnsi="Times New Roman" w:cs="Times New Roman"/>
          <w:sz w:val="16"/>
          <w:szCs w:val="16"/>
        </w:rPr>
        <w:t>21</w:t>
      </w:r>
      <w:r w:rsidR="00127490">
        <w:rPr>
          <w:rFonts w:ascii="Times New Roman" w:hAnsi="Times New Roman" w:cs="Times New Roman"/>
          <w:sz w:val="24"/>
          <w:szCs w:val="24"/>
        </w:rPr>
        <w:t>ClFNO</w:t>
      </w:r>
      <w:proofErr w:type="gramStart"/>
      <w:r w:rsidR="00127490">
        <w:rPr>
          <w:rFonts w:ascii="Times New Roman" w:hAnsi="Times New Roman" w:cs="Times New Roman"/>
          <w:sz w:val="16"/>
          <w:szCs w:val="16"/>
        </w:rPr>
        <w:t xml:space="preserve">3 </w:t>
      </w:r>
      <w:r w:rsidR="0092507E">
        <w:rPr>
          <w:rFonts w:ascii="Times New Roman" w:hAnsi="Times New Roman" w:cs="Times New Roman"/>
          <w:sz w:val="24"/>
          <w:szCs w:val="24"/>
        </w:rPr>
        <w:t>.</w:t>
      </w:r>
      <w:r w:rsidR="00127490">
        <w:rPr>
          <w:rFonts w:ascii="Times New Roman" w:hAnsi="Times New Roman" w:cs="Times New Roman"/>
          <w:sz w:val="24"/>
          <w:szCs w:val="24"/>
        </w:rPr>
        <w:t>½</w:t>
      </w:r>
      <w:proofErr w:type="gramEnd"/>
      <w:r w:rsidR="00127490">
        <w:rPr>
          <w:rFonts w:ascii="Times New Roman" w:hAnsi="Times New Roman" w:cs="Times New Roman"/>
          <w:sz w:val="24"/>
          <w:szCs w:val="24"/>
        </w:rPr>
        <w:t xml:space="preserve"> H2O</w:t>
      </w:r>
    </w:p>
    <w:p w14:paraId="6C3F1446" w14:textId="2738D3E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="00196DBB">
        <w:rPr>
          <w:rFonts w:cstheme="minorHAnsi"/>
          <w:sz w:val="24"/>
          <w:szCs w:val="24"/>
        </w:rPr>
        <w:t>374.8</w:t>
      </w:r>
      <w:r w:rsidR="0092139B" w:rsidRPr="0092139B" w:rsidDel="0092139B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A31CC1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14:paraId="4AF9A289" w14:textId="524CC9AC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CC52A3" w:rsidRPr="00A31CC1">
        <w:rPr>
          <w:rFonts w:cstheme="minorHAnsi"/>
          <w:sz w:val="24"/>
          <w:szCs w:val="24"/>
        </w:rPr>
        <w:t>[</w:t>
      </w:r>
      <w:r w:rsidR="00196DBB">
        <w:rPr>
          <w:rFonts w:cstheme="minorHAnsi"/>
          <w:sz w:val="24"/>
          <w:szCs w:val="24"/>
        </w:rPr>
        <w:t>110429-35-1</w:t>
      </w:r>
      <w:r w:rsidR="00CC52A3" w:rsidRPr="00A31CC1">
        <w:rPr>
          <w:rFonts w:cstheme="minorHAnsi"/>
          <w:sz w:val="24"/>
          <w:szCs w:val="24"/>
        </w:rPr>
        <w:t>]</w:t>
      </w:r>
    </w:p>
    <w:p w14:paraId="65DD4B31" w14:textId="66E1A805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Aspetto</w:t>
      </w:r>
      <w:r w:rsidRPr="00A31CC1">
        <w:rPr>
          <w:rFonts w:cstheme="minorHAnsi"/>
          <w:sz w:val="24"/>
          <w:szCs w:val="24"/>
        </w:rPr>
        <w:t xml:space="preserve">: </w:t>
      </w:r>
      <w:r w:rsidR="009C1CCA">
        <w:rPr>
          <w:rFonts w:cstheme="minorHAnsi"/>
          <w:sz w:val="24"/>
          <w:szCs w:val="24"/>
        </w:rPr>
        <w:t>l</w:t>
      </w:r>
      <w:r w:rsidR="00473134" w:rsidRPr="00473134">
        <w:rPr>
          <w:rFonts w:cstheme="minorHAnsi"/>
          <w:sz w:val="24"/>
          <w:szCs w:val="24"/>
        </w:rPr>
        <w:t xml:space="preserve">a </w:t>
      </w:r>
      <w:proofErr w:type="spellStart"/>
      <w:r w:rsidR="00473134" w:rsidRPr="00473134">
        <w:rPr>
          <w:rFonts w:cstheme="minorHAnsi"/>
          <w:sz w:val="24"/>
          <w:szCs w:val="24"/>
        </w:rPr>
        <w:t>paroxetina</w:t>
      </w:r>
      <w:proofErr w:type="spellEnd"/>
      <w:r w:rsidR="00473134" w:rsidRPr="00473134">
        <w:rPr>
          <w:rFonts w:cstheme="minorHAnsi"/>
          <w:sz w:val="24"/>
          <w:szCs w:val="24"/>
        </w:rPr>
        <w:t xml:space="preserve"> si presenta tipicamente come una polvere cristallina bianca o l</w:t>
      </w:r>
      <w:r w:rsidR="00473134">
        <w:rPr>
          <w:rFonts w:cstheme="minorHAnsi"/>
          <w:sz w:val="24"/>
          <w:szCs w:val="24"/>
        </w:rPr>
        <w:t>eggermente biancastra.</w:t>
      </w:r>
    </w:p>
    <w:p w14:paraId="02907BC0" w14:textId="4A264D36" w:rsidR="00E15DA5" w:rsidRPr="00243447" w:rsidRDefault="004E5A39" w:rsidP="00243447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Solubilità</w:t>
      </w:r>
      <w:r w:rsidRPr="00A31CC1">
        <w:rPr>
          <w:rFonts w:cstheme="minorHAnsi"/>
          <w:sz w:val="24"/>
          <w:szCs w:val="24"/>
        </w:rPr>
        <w:t xml:space="preserve">: </w:t>
      </w:r>
      <w:r w:rsidR="0092139B">
        <w:rPr>
          <w:rFonts w:cstheme="minorHAnsi"/>
          <w:sz w:val="24"/>
          <w:szCs w:val="24"/>
        </w:rPr>
        <w:t xml:space="preserve">la </w:t>
      </w:r>
      <w:proofErr w:type="spellStart"/>
      <w:r w:rsidR="0092139B">
        <w:rPr>
          <w:rFonts w:cstheme="minorHAnsi"/>
          <w:sz w:val="24"/>
          <w:szCs w:val="24"/>
        </w:rPr>
        <w:t>paroxetina</w:t>
      </w:r>
      <w:proofErr w:type="spellEnd"/>
      <w:r w:rsidR="0092139B">
        <w:rPr>
          <w:rFonts w:cstheme="minorHAnsi"/>
          <w:sz w:val="24"/>
          <w:szCs w:val="24"/>
        </w:rPr>
        <w:t xml:space="preserve"> è </w:t>
      </w:r>
      <w:r w:rsidR="00243447">
        <w:rPr>
          <w:rFonts w:cstheme="minorHAnsi"/>
          <w:sz w:val="24"/>
          <w:szCs w:val="24"/>
        </w:rPr>
        <w:t>f</w:t>
      </w:r>
      <w:r w:rsidR="00243447" w:rsidRPr="00243447">
        <w:rPr>
          <w:rFonts w:cstheme="minorHAnsi"/>
          <w:sz w:val="24"/>
          <w:szCs w:val="24"/>
        </w:rPr>
        <w:t>acilmente solubile in metanolo, leggermente solubile in acqua, poco solubile in alcol e in cloruro di metilene.</w:t>
      </w:r>
      <w:bookmarkStart w:id="1" w:name="_GoBack"/>
      <w:bookmarkEnd w:id="1"/>
    </w:p>
    <w:p w14:paraId="44248F9E" w14:textId="77777777" w:rsidR="004E5A39" w:rsidRPr="00243447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923979A" w14:textId="49B5FB85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è presente in Farmacopea Europea e il </w:t>
      </w:r>
      <w:proofErr w:type="spellStart"/>
      <w:r w:rsidRPr="00A31CC1">
        <w:rPr>
          <w:rFonts w:cstheme="minorHAnsi"/>
          <w:sz w:val="24"/>
          <w:szCs w:val="24"/>
        </w:rPr>
        <w:t>Direttorato</w:t>
      </w:r>
      <w:proofErr w:type="spellEnd"/>
      <w:r w:rsidRPr="00A31CC1">
        <w:rPr>
          <w:rFonts w:cstheme="minorHAnsi"/>
          <w:sz w:val="24"/>
          <w:szCs w:val="24"/>
        </w:rPr>
        <w:t xml:space="preserve"> Europeo per la Qualità dei Medicinali (</w:t>
      </w:r>
      <w:proofErr w:type="spellStart"/>
      <w:r w:rsidRPr="00A31CC1">
        <w:rPr>
          <w:rFonts w:cstheme="minorHAnsi"/>
          <w:sz w:val="24"/>
          <w:szCs w:val="24"/>
        </w:rPr>
        <w:t>European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sz w:val="24"/>
          <w:szCs w:val="24"/>
        </w:rPr>
        <w:t>Directorate</w:t>
      </w:r>
      <w:proofErr w:type="spellEnd"/>
      <w:r w:rsidRPr="00A31CC1">
        <w:rPr>
          <w:rFonts w:cstheme="minorHAnsi"/>
          <w:sz w:val="24"/>
          <w:szCs w:val="24"/>
        </w:rPr>
        <w:t xml:space="preserve"> for </w:t>
      </w:r>
      <w:r w:rsidR="008C3877" w:rsidRPr="00A31CC1">
        <w:rPr>
          <w:rFonts w:cstheme="minorHAnsi"/>
          <w:sz w:val="24"/>
          <w:szCs w:val="24"/>
        </w:rPr>
        <w:t xml:space="preserve">the </w:t>
      </w:r>
      <w:proofErr w:type="spellStart"/>
      <w:r w:rsidRPr="00A31CC1">
        <w:rPr>
          <w:rFonts w:cstheme="minorHAnsi"/>
          <w:sz w:val="24"/>
          <w:szCs w:val="24"/>
        </w:rPr>
        <w:t>Quality</w:t>
      </w:r>
      <w:proofErr w:type="spellEnd"/>
      <w:r w:rsidRPr="00A31CC1">
        <w:rPr>
          <w:rFonts w:cstheme="minorHAnsi"/>
          <w:sz w:val="24"/>
          <w:szCs w:val="24"/>
        </w:rPr>
        <w:t xml:space="preserve"> of </w:t>
      </w:r>
      <w:proofErr w:type="spellStart"/>
      <w:r w:rsidRPr="00A31CC1">
        <w:rPr>
          <w:rFonts w:cstheme="minorHAnsi"/>
          <w:sz w:val="24"/>
          <w:szCs w:val="24"/>
        </w:rPr>
        <w:t>Medic</w:t>
      </w:r>
      <w:r w:rsidR="00747E4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>n</w:t>
      </w:r>
      <w:r w:rsidR="008C3877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>s</w:t>
      </w:r>
      <w:proofErr w:type="spellEnd"/>
      <w:r w:rsidRPr="00A31CC1">
        <w:rPr>
          <w:rFonts w:cstheme="minorHAnsi"/>
          <w:sz w:val="24"/>
          <w:szCs w:val="24"/>
        </w:rPr>
        <w:t xml:space="preserve"> – EDQM) ha rilasciato al produttore il certificato di conformità alla Farmacopea Europea (CEP).</w:t>
      </w:r>
    </w:p>
    <w:p w14:paraId="057BB681" w14:textId="1EDC1594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</w:t>
      </w:r>
    </w:p>
    <w:p w14:paraId="7615383E" w14:textId="52978E4E" w:rsidR="002C2324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A31CC1">
        <w:rPr>
          <w:rFonts w:cstheme="minorHAnsi"/>
          <w:sz w:val="24"/>
          <w:szCs w:val="24"/>
        </w:rPr>
        <w:t>retest</w:t>
      </w:r>
      <w:proofErr w:type="spellEnd"/>
      <w:r w:rsidRPr="00A31CC1">
        <w:rPr>
          <w:rFonts w:cstheme="minorHAnsi"/>
          <w:sz w:val="24"/>
          <w:szCs w:val="24"/>
        </w:rPr>
        <w:t xml:space="preserve"> di </w:t>
      </w:r>
      <w:r w:rsidR="00B229D9">
        <w:rPr>
          <w:rFonts w:cstheme="minorHAnsi"/>
          <w:sz w:val="24"/>
          <w:szCs w:val="24"/>
        </w:rPr>
        <w:t xml:space="preserve">48 </w:t>
      </w:r>
      <w:r w:rsidR="002C2324" w:rsidRPr="006222F7">
        <w:rPr>
          <w:rFonts w:cstheme="minorHAnsi"/>
          <w:sz w:val="24"/>
          <w:szCs w:val="24"/>
        </w:rPr>
        <w:t>M</w:t>
      </w:r>
      <w:r w:rsidRPr="00A31CC1">
        <w:rPr>
          <w:rFonts w:cstheme="minorHAnsi"/>
          <w:sz w:val="24"/>
          <w:szCs w:val="24"/>
        </w:rPr>
        <w:t>esi</w:t>
      </w:r>
      <w:r w:rsidR="002C2324">
        <w:rPr>
          <w:rFonts w:cstheme="minorHAnsi"/>
          <w:sz w:val="24"/>
          <w:szCs w:val="24"/>
        </w:rPr>
        <w:t>.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0D7099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D7099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0D7099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D7099">
        <w:rPr>
          <w:rFonts w:cstheme="minorHAnsi"/>
          <w:b/>
          <w:sz w:val="24"/>
          <w:szCs w:val="24"/>
        </w:rPr>
        <w:t>Descrizione e composizione</w:t>
      </w:r>
    </w:p>
    <w:p w14:paraId="46D517CE" w14:textId="4E27959B" w:rsidR="004E5A39" w:rsidRPr="000D7099" w:rsidRDefault="00B229D9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0D7099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0B7AC8" w:rsidRPr="000D7099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Pr="000D7099">
        <w:rPr>
          <w:rFonts w:eastAsia="Calibri" w:cstheme="minorHAnsi"/>
          <w:color w:val="000000"/>
          <w:sz w:val="24"/>
          <w:szCs w:val="24"/>
          <w:lang w:eastAsia="it-IT"/>
        </w:rPr>
        <w:t>soluzione per gocce orali 10 mg/ml</w:t>
      </w:r>
      <w:r w:rsidR="004E5A39" w:rsidRPr="000D7099">
        <w:rPr>
          <w:rFonts w:cstheme="minorHAnsi"/>
          <w:sz w:val="24"/>
          <w:szCs w:val="24"/>
        </w:rPr>
        <w:t xml:space="preserve"> </w:t>
      </w:r>
    </w:p>
    <w:p w14:paraId="77FF1E76" w14:textId="1642E190" w:rsidR="00B30431" w:rsidRPr="00A31CC1" w:rsidRDefault="004E5A39" w:rsidP="00EF671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D7099">
        <w:rPr>
          <w:rFonts w:cstheme="minorHAnsi"/>
          <w:sz w:val="24"/>
          <w:szCs w:val="24"/>
        </w:rPr>
        <w:t xml:space="preserve">Gli eccipienti sono </w:t>
      </w:r>
      <w:proofErr w:type="spellStart"/>
      <w:r w:rsidR="00B229D9" w:rsidRPr="000D7099">
        <w:rPr>
          <w:rFonts w:cstheme="minorHAnsi"/>
          <w:sz w:val="24"/>
          <w:szCs w:val="24"/>
        </w:rPr>
        <w:t>Povidone</w:t>
      </w:r>
      <w:proofErr w:type="spellEnd"/>
      <w:r w:rsidR="00B229D9" w:rsidRPr="000D7099">
        <w:rPr>
          <w:rFonts w:cstheme="minorHAnsi"/>
          <w:sz w:val="24"/>
          <w:szCs w:val="24"/>
        </w:rPr>
        <w:t xml:space="preserve"> K30, acido benzoico E210, </w:t>
      </w:r>
      <w:proofErr w:type="spellStart"/>
      <w:r w:rsidR="00B229D9" w:rsidRPr="000D7099">
        <w:rPr>
          <w:rFonts w:cstheme="minorHAnsi"/>
          <w:sz w:val="24"/>
          <w:szCs w:val="24"/>
        </w:rPr>
        <w:t>sucralosio</w:t>
      </w:r>
      <w:proofErr w:type="spellEnd"/>
      <w:r w:rsidR="00B229D9" w:rsidRPr="000D7099">
        <w:rPr>
          <w:rFonts w:cstheme="minorHAnsi"/>
          <w:sz w:val="24"/>
          <w:szCs w:val="24"/>
        </w:rPr>
        <w:t>, aroma arancia/aroma limone, curcumina (E100), acqua purificata.</w:t>
      </w:r>
    </w:p>
    <w:p w14:paraId="2411A2EC" w14:textId="77777777" w:rsidR="000808A3" w:rsidRPr="00A31CC1" w:rsidRDefault="000808A3" w:rsidP="00EF6711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55B3F98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</w:t>
      </w:r>
      <w:r w:rsidR="008435D1">
        <w:rPr>
          <w:rFonts w:cstheme="minorHAnsi"/>
          <w:sz w:val="24"/>
          <w:szCs w:val="24"/>
        </w:rPr>
        <w:t xml:space="preserve">: </w:t>
      </w:r>
      <w:r w:rsidRPr="00A31CC1">
        <w:rPr>
          <w:rFonts w:cstheme="minorHAnsi"/>
          <w:sz w:val="24"/>
          <w:szCs w:val="24"/>
        </w:rPr>
        <w:t>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646DB785" w:rsidR="00BA0ACD" w:rsidRPr="00A31CC1" w:rsidRDefault="00A51EB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354880">
        <w:rPr>
          <w:rFonts w:cstheme="minorHAnsi"/>
          <w:sz w:val="24"/>
          <w:szCs w:val="24"/>
        </w:rPr>
        <w:t>f</w:t>
      </w:r>
      <w:r w:rsidR="00354880" w:rsidRPr="00354880">
        <w:rPr>
          <w:rFonts w:cstheme="minorHAnsi"/>
          <w:sz w:val="24"/>
          <w:szCs w:val="24"/>
        </w:rPr>
        <w:t>lacone di vetro ambrato con tappo anti-manomissione, con chiusura di sicurezza e contagocce</w:t>
      </w:r>
    </w:p>
    <w:p w14:paraId="6BE64A56" w14:textId="1C6BC983" w:rsidR="00BA0AC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</w:t>
      </w:r>
      <w:r w:rsidR="00354880" w:rsidRPr="00354880">
        <w:rPr>
          <w:rFonts w:cstheme="minorHAnsi"/>
          <w:sz w:val="24"/>
          <w:szCs w:val="24"/>
        </w:rPr>
        <w:t>adeguate informazioni relative al confezionamento primario</w:t>
      </w:r>
      <w:r w:rsidR="00354880">
        <w:rPr>
          <w:rFonts w:cstheme="minorHAnsi"/>
          <w:sz w:val="24"/>
          <w:szCs w:val="24"/>
        </w:rPr>
        <w:t>.</w:t>
      </w:r>
    </w:p>
    <w:p w14:paraId="6E1E5FE8" w14:textId="77777777" w:rsidR="00354880" w:rsidRPr="00A31CC1" w:rsidRDefault="00354880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77A7C1E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36E18">
        <w:rPr>
          <w:rFonts w:cstheme="minorHAnsi"/>
          <w:sz w:val="24"/>
          <w:szCs w:val="24"/>
        </w:rPr>
        <w:t xml:space="preserve">3 </w:t>
      </w:r>
      <w:r w:rsidR="00265B61" w:rsidRPr="00A31CC1">
        <w:rPr>
          <w:rFonts w:cstheme="minorHAnsi"/>
          <w:sz w:val="24"/>
          <w:szCs w:val="24"/>
        </w:rPr>
        <w:t>anni</w:t>
      </w:r>
      <w:r w:rsidR="00336E18">
        <w:rPr>
          <w:rFonts w:cstheme="minorHAnsi"/>
          <w:sz w:val="24"/>
          <w:szCs w:val="24"/>
        </w:rPr>
        <w:t xml:space="preserve"> del prodotto integro, 2 mesi dall’apertura,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336E18">
        <w:rPr>
          <w:rFonts w:cstheme="minorHAnsi"/>
          <w:sz w:val="24"/>
          <w:szCs w:val="24"/>
        </w:rPr>
        <w:t>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7ED5776E" w14:textId="2F7313D9" w:rsidR="00B02C80" w:rsidRPr="00A31CC1" w:rsidRDefault="00B02C80" w:rsidP="00B02C8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A31CC1">
        <w:rPr>
          <w:rFonts w:cstheme="minorHAnsi"/>
          <w:sz w:val="24"/>
          <w:szCs w:val="24"/>
        </w:rPr>
        <w:t xml:space="preserve">a qualità di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chimico-farmaceutico </w:t>
      </w:r>
      <w:proofErr w:type="spellStart"/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 </w:t>
      </w:r>
      <w:r w:rsidRPr="00A31CC1">
        <w:rPr>
          <w:rFonts w:cstheme="minorHAnsi"/>
          <w:sz w:val="24"/>
          <w:szCs w:val="24"/>
        </w:rPr>
        <w:t>è</w:t>
      </w:r>
      <w:proofErr w:type="gramEnd"/>
      <w:r w:rsidRPr="00A31CC1">
        <w:rPr>
          <w:rFonts w:cstheme="minorHAnsi"/>
          <w:sz w:val="24"/>
          <w:szCs w:val="24"/>
        </w:rPr>
        <w:t xml:space="preserve"> stato considerato accettabile per l’autorizzazione all’immissione in commercio. </w:t>
      </w:r>
    </w:p>
    <w:p w14:paraId="1FB1B0B9" w14:textId="77777777" w:rsidR="00B02C80" w:rsidRDefault="00B02C80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20C234A4" w14:textId="77777777" w:rsidR="001A516D" w:rsidRPr="00A31CC1" w:rsidRDefault="001A516D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69A2D479" w14:textId="1C2F3921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proofErr w:type="spellStart"/>
      <w:r w:rsidR="004D065B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4D065B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presente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proofErr w:type="spellStart"/>
      <w:r w:rsidR="004D065B">
        <w:rPr>
          <w:rFonts w:eastAsia="Calibri" w:cstheme="minorHAnsi"/>
          <w:sz w:val="24"/>
          <w:szCs w:val="24"/>
          <w:lang w:eastAsia="it-IT"/>
        </w:rPr>
        <w:t>Seroxat</w:t>
      </w:r>
      <w:proofErr w:type="spellEnd"/>
      <w:r w:rsidR="004D06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26BE1BD2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729AFB" w14:textId="77777777"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1C382BA2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proofErr w:type="spellStart"/>
      <w:r w:rsidR="009C1CCA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26E0403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057CB84F" w14:textId="586B1C88" w:rsidR="00B02C80" w:rsidRPr="003C79DC" w:rsidRDefault="009C1CCA" w:rsidP="00B02C80">
      <w:pPr>
        <w:suppressAutoHyphens/>
        <w:spacing w:before="100" w:beforeAutospacing="1" w:after="100" w:afterAutospacing="1"/>
        <w:contextualSpacing/>
        <w:jc w:val="both"/>
        <w:rPr>
          <w:rFonts w:cstheme="minorHAnsi"/>
        </w:rPr>
      </w:pP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B02C80">
        <w:rPr>
          <w:rFonts w:cstheme="minorHAnsi"/>
          <w:sz w:val="24"/>
          <w:szCs w:val="24"/>
        </w:rPr>
        <w:t xml:space="preserve"> </w:t>
      </w:r>
      <w:r w:rsidR="00B02C80">
        <w:rPr>
          <w:rFonts w:eastAsia="Calibri" w:cstheme="minorHAnsi"/>
          <w:sz w:val="24"/>
          <w:szCs w:val="24"/>
          <w:lang w:eastAsia="it-IT"/>
        </w:rPr>
        <w:t>il trattamento di</w:t>
      </w:r>
      <w:r w:rsidR="00B02C80" w:rsidRPr="00A31CC1">
        <w:rPr>
          <w:rFonts w:eastAsia="Calibri" w:cstheme="minorHAnsi"/>
          <w:sz w:val="24"/>
          <w:szCs w:val="24"/>
          <w:lang w:eastAsia="it-IT"/>
        </w:rPr>
        <w:t xml:space="preserve">: </w:t>
      </w:r>
    </w:p>
    <w:p w14:paraId="1CB75F7B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Episodio di depressione maggiore.</w:t>
      </w:r>
    </w:p>
    <w:p w14:paraId="41D6AEAD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ossessivo compulsivo.</w:t>
      </w:r>
    </w:p>
    <w:p w14:paraId="63F7F724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da attacchi di panico con o senza agorafobia.</w:t>
      </w:r>
    </w:p>
    <w:p w14:paraId="3AD1072E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d’ansia sociale/fobia sociale.</w:t>
      </w:r>
    </w:p>
    <w:p w14:paraId="000D4728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d’ansia generalizzata.</w:t>
      </w:r>
    </w:p>
    <w:p w14:paraId="186F7C09" w14:textId="77777777" w:rsidR="00B02C80" w:rsidRPr="00BE06B6" w:rsidRDefault="00B02C80" w:rsidP="00B02C80">
      <w:pPr>
        <w:pStyle w:val="Paragrafoelenco"/>
        <w:numPr>
          <w:ilvl w:val="0"/>
          <w:numId w:val="8"/>
        </w:numPr>
        <w:suppressAutoHyphens/>
        <w:spacing w:before="100" w:beforeAutospacing="1" w:after="100" w:afterAutospacing="1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BE06B6">
        <w:rPr>
          <w:rFonts w:eastAsia="Calibri" w:cstheme="minorHAnsi"/>
          <w:sz w:val="24"/>
          <w:szCs w:val="24"/>
          <w:lang w:eastAsia="it-IT"/>
        </w:rPr>
        <w:t>Disturbo da stress post-traumatico.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Posologia e modalità di somministrazione</w:t>
      </w:r>
    </w:p>
    <w:p w14:paraId="218B71EA" w14:textId="3DF5D36A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hyperlink r:id="rId11" w:anchor="/it/" w:history="1">
        <w:r w:rsidR="00B02C80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7D9DD53A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20327B7A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proofErr w:type="spellStart"/>
      <w:r w:rsidR="0073684E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proofErr w:type="spellStart"/>
      <w:r w:rsidR="009A5EA9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9A5EA9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745609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9A5EA9">
        <w:rPr>
          <w:rFonts w:cstheme="minorHAnsi"/>
          <w:sz w:val="24"/>
          <w:szCs w:val="24"/>
        </w:rPr>
        <w:t>di riferimento</w:t>
      </w:r>
      <w:r w:rsidR="00C56FA9" w:rsidRPr="00A31CC1">
        <w:rPr>
          <w:rFonts w:cstheme="minorHAnsi"/>
          <w:sz w:val="24"/>
          <w:szCs w:val="24"/>
        </w:rPr>
        <w:t xml:space="preserve"> </w:t>
      </w:r>
      <w:proofErr w:type="spellStart"/>
      <w:r w:rsidR="009A5EA9">
        <w:rPr>
          <w:rFonts w:cstheme="minorHAnsi"/>
          <w:sz w:val="24"/>
          <w:szCs w:val="24"/>
        </w:rPr>
        <w:t>Seroxat</w:t>
      </w:r>
      <w:proofErr w:type="spellEnd"/>
      <w:r w:rsidR="009A5EA9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2C5DC8">
        <w:rPr>
          <w:rFonts w:cstheme="minorHAnsi"/>
          <w:sz w:val="24"/>
          <w:szCs w:val="24"/>
        </w:rPr>
        <w:t xml:space="preserve">8 </w:t>
      </w:r>
      <w:r w:rsidRPr="00A31CC1">
        <w:rPr>
          <w:rFonts w:cstheme="minorHAnsi"/>
          <w:sz w:val="24"/>
          <w:szCs w:val="24"/>
        </w:rPr>
        <w:t>anni</w:t>
      </w:r>
      <w:r w:rsidR="006070E8">
        <w:rPr>
          <w:rFonts w:cstheme="minorHAnsi"/>
          <w:sz w:val="24"/>
          <w:szCs w:val="24"/>
        </w:rPr>
        <w:t xml:space="preserve">. </w:t>
      </w:r>
      <w:r w:rsidR="00BE7CDB" w:rsidRPr="00A31CC1">
        <w:rPr>
          <w:rFonts w:cstheme="minorHAnsi"/>
          <w:sz w:val="24"/>
          <w:szCs w:val="24"/>
        </w:rPr>
        <w:t xml:space="preserve">Con l’eccezione dello studio di </w:t>
      </w:r>
      <w:proofErr w:type="spellStart"/>
      <w:r w:rsidR="00BE7CDB" w:rsidRPr="00A31CC1">
        <w:rPr>
          <w:rFonts w:cstheme="minorHAnsi"/>
          <w:sz w:val="24"/>
          <w:szCs w:val="24"/>
        </w:rPr>
        <w:t>bioequivalenza</w:t>
      </w:r>
      <w:proofErr w:type="spellEnd"/>
      <w:r w:rsidR="00BE7CDB" w:rsidRPr="00A31CC1">
        <w:rPr>
          <w:rFonts w:cstheme="minorHAnsi"/>
          <w:sz w:val="24"/>
          <w:szCs w:val="24"/>
        </w:rPr>
        <w:t>, non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Studio di </w:t>
      </w:r>
      <w:proofErr w:type="spellStart"/>
      <w:r w:rsidRPr="00A31CC1">
        <w:rPr>
          <w:rFonts w:cstheme="minorHAnsi"/>
          <w:b/>
          <w:sz w:val="24"/>
          <w:szCs w:val="24"/>
        </w:rPr>
        <w:t>bioequivalenza</w:t>
      </w:r>
      <w:proofErr w:type="spellEnd"/>
    </w:p>
    <w:p w14:paraId="314D054D" w14:textId="276993D6" w:rsidR="005049A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che ha confrontato i profili farmacocinetici di </w:t>
      </w:r>
      <w:proofErr w:type="spellStart"/>
      <w:r w:rsidR="009A5EA9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9A5EA9">
        <w:rPr>
          <w:rFonts w:cstheme="minorHAnsi"/>
          <w:sz w:val="24"/>
          <w:szCs w:val="24"/>
        </w:rPr>
        <w:t>Seroxat</w:t>
      </w:r>
      <w:proofErr w:type="spellEnd"/>
      <w:r w:rsidR="009A5EA9">
        <w:rPr>
          <w:rFonts w:cstheme="minorHAnsi"/>
          <w:sz w:val="24"/>
          <w:szCs w:val="24"/>
        </w:rPr>
        <w:t>.</w:t>
      </w:r>
    </w:p>
    <w:p w14:paraId="72D12DFE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5DDE4D00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32D18FA1" w14:textId="77777777" w:rsidR="009A5EA9" w:rsidRDefault="009A5EA9" w:rsidP="009A5EA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5905D8" w14:textId="5DB262B1" w:rsidR="009A5EA9" w:rsidRPr="00753B99" w:rsidRDefault="009A5EA9" w:rsidP="009A5EA9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753B99">
        <w:rPr>
          <w:rFonts w:cstheme="minorHAnsi"/>
          <w:sz w:val="24"/>
          <w:szCs w:val="24"/>
          <w:lang w:val="en-GB"/>
        </w:rPr>
        <w:t>Studio</w:t>
      </w:r>
      <w:r w:rsidR="006070E8" w:rsidRPr="00753B99">
        <w:rPr>
          <w:rFonts w:cstheme="minorHAnsi"/>
          <w:sz w:val="24"/>
          <w:szCs w:val="24"/>
          <w:lang w:val="en-GB"/>
        </w:rPr>
        <w:t>: PRX01-C-017</w:t>
      </w:r>
    </w:p>
    <w:p w14:paraId="7BED3B18" w14:textId="55D7FC6E" w:rsidR="009A5EA9" w:rsidRPr="00753B99" w:rsidRDefault="009A5EA9" w:rsidP="009A5EA9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753B99">
        <w:rPr>
          <w:rFonts w:cstheme="minorHAnsi"/>
          <w:sz w:val="24"/>
          <w:szCs w:val="24"/>
          <w:lang w:val="en-GB"/>
        </w:rPr>
        <w:t xml:space="preserve">A pivotal study to evaluate the pharmacokinetics </w:t>
      </w:r>
      <w:proofErr w:type="spellStart"/>
      <w:r w:rsidR="00341FBE">
        <w:rPr>
          <w:rFonts w:cstheme="minorHAnsi"/>
          <w:sz w:val="24"/>
          <w:szCs w:val="24"/>
          <w:lang w:val="en-GB"/>
        </w:rPr>
        <w:t>behavior</w:t>
      </w:r>
      <w:proofErr w:type="spellEnd"/>
      <w:r w:rsidRPr="00753B99">
        <w:rPr>
          <w:rFonts w:cstheme="minorHAnsi"/>
          <w:sz w:val="24"/>
          <w:szCs w:val="24"/>
          <w:lang w:val="en-GB"/>
        </w:rPr>
        <w:t xml:space="preserve"> of a formulation of paroxetine hydrochloride drops versus a film coated tablets after oral administration in healthy male and female volunteers under fasting condition</w:t>
      </w:r>
    </w:p>
    <w:p w14:paraId="3387578D" w14:textId="77777777" w:rsidR="006070E8" w:rsidRPr="00753B99" w:rsidRDefault="006070E8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i/>
          <w:szCs w:val="24"/>
          <w:lang w:val="en-GB"/>
        </w:rPr>
      </w:pPr>
    </w:p>
    <w:p w14:paraId="20D82115" w14:textId="1F81041C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i/>
          <w:szCs w:val="24"/>
          <w:lang w:val="it-IT"/>
        </w:rPr>
        <w:t>Parametri farmacocinetici</w:t>
      </w:r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. </w:t>
      </w:r>
    </w:p>
    <w:p w14:paraId="1E79F7D3" w14:textId="77777777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La sintesi dei risultati dello studio di </w:t>
      </w:r>
      <w:proofErr w:type="spellStart"/>
      <w:r w:rsidRPr="00A31CC1">
        <w:rPr>
          <w:rFonts w:asciiTheme="minorHAnsi" w:hAnsiTheme="minorHAnsi" w:cstheme="minorHAnsi"/>
          <w:b w:val="0"/>
          <w:szCs w:val="24"/>
          <w:lang w:val="it-IT"/>
        </w:rPr>
        <w:t>bioequivalenza</w:t>
      </w:r>
      <w:proofErr w:type="spellEnd"/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 è riportata nella tabella che segue.</w:t>
      </w:r>
    </w:p>
    <w:p w14:paraId="48252149" w14:textId="7019DD5B" w:rsidR="005049A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D62BF21" w14:textId="77777777" w:rsidR="006070E8" w:rsidRPr="00A31CC1" w:rsidRDefault="006070E8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1123"/>
        <w:gridCol w:w="677"/>
        <w:gridCol w:w="2922"/>
        <w:gridCol w:w="2922"/>
        <w:gridCol w:w="1192"/>
      </w:tblGrid>
      <w:tr w:rsidR="009A5EA9" w:rsidRPr="00F44B8C" w14:paraId="49CDC6F7" w14:textId="77777777" w:rsidTr="009A5EA9">
        <w:trPr>
          <w:jc w:val="center"/>
        </w:trPr>
        <w:tc>
          <w:tcPr>
            <w:tcW w:w="1087" w:type="dxa"/>
            <w:shd w:val="clear" w:color="auto" w:fill="C0C0C0"/>
          </w:tcPr>
          <w:p w14:paraId="2277E5E4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de-DE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Trattamento</w:t>
            </w:r>
            <w:proofErr w:type="spellEnd"/>
          </w:p>
        </w:tc>
        <w:tc>
          <w:tcPr>
            <w:tcW w:w="1800" w:type="dxa"/>
            <w:gridSpan w:val="2"/>
            <w:shd w:val="clear" w:color="auto" w:fill="C0C0C0"/>
          </w:tcPr>
          <w:p w14:paraId="6CBB22A2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AUC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0-t</w:t>
            </w:r>
          </w:p>
          <w:p w14:paraId="622C93A4" w14:textId="571460C6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ng</w:t>
            </w:r>
            <w:proofErr w:type="spellEnd"/>
            <w:r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/</w:t>
            </w:r>
            <w:proofErr w:type="spellStart"/>
            <w:r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mL</w:t>
            </w:r>
            <w:proofErr w:type="spellEnd"/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/h</w:t>
            </w:r>
          </w:p>
          <w:p w14:paraId="6328DEE8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</w:p>
        </w:tc>
        <w:tc>
          <w:tcPr>
            <w:tcW w:w="2922" w:type="dxa"/>
            <w:shd w:val="clear" w:color="auto" w:fill="C0C0C0"/>
          </w:tcPr>
          <w:p w14:paraId="708F2B15" w14:textId="774C7716" w:rsidR="009A5EA9" w:rsidRPr="00195C98" w:rsidRDefault="009A5EA9" w:rsidP="009A5E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AUC</w:t>
            </w:r>
            <w:r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0-∞</w:t>
            </w:r>
          </w:p>
          <w:p w14:paraId="43FAC9A0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2922" w:type="dxa"/>
            <w:shd w:val="clear" w:color="auto" w:fill="C0C0C0"/>
          </w:tcPr>
          <w:p w14:paraId="31FC4C70" w14:textId="1E7685E1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C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max</w:t>
            </w:r>
            <w:proofErr w:type="spellEnd"/>
          </w:p>
          <w:p w14:paraId="370D3C94" w14:textId="3C8C9084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n-GB" w:eastAsia="fi-FI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xg</w:t>
            </w:r>
            <w:proofErr w:type="spellEnd"/>
            <w:r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/mL</w:t>
            </w:r>
          </w:p>
        </w:tc>
        <w:tc>
          <w:tcPr>
            <w:tcW w:w="1192" w:type="dxa"/>
            <w:shd w:val="clear" w:color="auto" w:fill="C0C0C0"/>
          </w:tcPr>
          <w:p w14:paraId="11D9D615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lang w:val="de-DE" w:eastAsia="fi-FI"/>
              </w:rPr>
              <w:t>t</w:t>
            </w: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max</w:t>
            </w:r>
            <w:proofErr w:type="spellEnd"/>
          </w:p>
          <w:p w14:paraId="6CF68EB6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195C98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h</w:t>
            </w:r>
          </w:p>
        </w:tc>
      </w:tr>
      <w:tr w:rsidR="009A5EA9" w:rsidRPr="00F44B8C" w14:paraId="721BD057" w14:textId="77777777" w:rsidTr="009A5EA9">
        <w:trPr>
          <w:jc w:val="center"/>
        </w:trPr>
        <w:tc>
          <w:tcPr>
            <w:tcW w:w="1087" w:type="dxa"/>
          </w:tcPr>
          <w:p w14:paraId="7656CC77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Test</w:t>
            </w:r>
          </w:p>
          <w:p w14:paraId="7AEEF028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  <w:gridSpan w:val="2"/>
          </w:tcPr>
          <w:p w14:paraId="49F990B8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115.84</w:t>
            </w:r>
          </w:p>
          <w:p w14:paraId="3B802358" w14:textId="01833EDC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±150.96</w:t>
            </w:r>
          </w:p>
        </w:tc>
        <w:tc>
          <w:tcPr>
            <w:tcW w:w="2922" w:type="dxa"/>
          </w:tcPr>
          <w:p w14:paraId="3DADA716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138.45</w:t>
            </w:r>
          </w:p>
          <w:p w14:paraId="6DEBF97C" w14:textId="5EB20DA0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±201.81</w:t>
            </w:r>
          </w:p>
        </w:tc>
        <w:tc>
          <w:tcPr>
            <w:tcW w:w="2922" w:type="dxa"/>
          </w:tcPr>
          <w:p w14:paraId="3DFBC6CA" w14:textId="0715E482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5,59</w:t>
            </w:r>
          </w:p>
          <w:p w14:paraId="3DD8C7B4" w14:textId="47B329B2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±5,53</w:t>
            </w:r>
          </w:p>
        </w:tc>
        <w:tc>
          <w:tcPr>
            <w:tcW w:w="1192" w:type="dxa"/>
          </w:tcPr>
          <w:p w14:paraId="6698CF3A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3,99</w:t>
            </w:r>
          </w:p>
          <w:p w14:paraId="40720AF9" w14:textId="2075329D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±1,62</w:t>
            </w:r>
          </w:p>
        </w:tc>
      </w:tr>
      <w:tr w:rsidR="009A5EA9" w:rsidRPr="00F44B8C" w14:paraId="106723E2" w14:textId="77777777" w:rsidTr="009A5EA9">
        <w:trPr>
          <w:jc w:val="center"/>
        </w:trPr>
        <w:tc>
          <w:tcPr>
            <w:tcW w:w="1087" w:type="dxa"/>
          </w:tcPr>
          <w:p w14:paraId="30148A4D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Reference</w:t>
            </w:r>
          </w:p>
          <w:p w14:paraId="1F0A66A5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  <w:gridSpan w:val="2"/>
          </w:tcPr>
          <w:p w14:paraId="07930227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120.06</w:t>
            </w:r>
          </w:p>
          <w:p w14:paraId="6D108408" w14:textId="5D76E5CE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±171.45</w:t>
            </w:r>
          </w:p>
        </w:tc>
        <w:tc>
          <w:tcPr>
            <w:tcW w:w="2922" w:type="dxa"/>
          </w:tcPr>
          <w:p w14:paraId="5691F1BD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144.05</w:t>
            </w:r>
          </w:p>
          <w:p w14:paraId="6E98AFB9" w14:textId="1823795D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±231.52</w:t>
            </w:r>
          </w:p>
        </w:tc>
        <w:tc>
          <w:tcPr>
            <w:tcW w:w="2922" w:type="dxa"/>
          </w:tcPr>
          <w:p w14:paraId="4F9E2BF5" w14:textId="10CEF4F9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5,19</w:t>
            </w:r>
          </w:p>
          <w:p w14:paraId="2DA61AAC" w14:textId="7DDBFC82" w:rsidR="009A5EA9" w:rsidRPr="00195C98" w:rsidRDefault="009A5EA9" w:rsidP="000D6FF9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±4,55</w:t>
            </w:r>
          </w:p>
        </w:tc>
        <w:tc>
          <w:tcPr>
            <w:tcW w:w="1192" w:type="dxa"/>
          </w:tcPr>
          <w:p w14:paraId="47CFB201" w14:textId="77777777" w:rsidR="009A5EA9" w:rsidRDefault="009A5EA9" w:rsidP="000D6FF9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4,00</w:t>
            </w:r>
          </w:p>
          <w:p w14:paraId="585A0463" w14:textId="05EC9E84" w:rsidR="009A5EA9" w:rsidRPr="00195C98" w:rsidRDefault="009A5EA9" w:rsidP="000D6FF9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±1,63</w:t>
            </w:r>
          </w:p>
        </w:tc>
      </w:tr>
      <w:tr w:rsidR="009A5EA9" w:rsidRPr="00F44B8C" w14:paraId="5017A784" w14:textId="77777777" w:rsidTr="009A5EA9">
        <w:trPr>
          <w:jc w:val="center"/>
        </w:trPr>
        <w:tc>
          <w:tcPr>
            <w:tcW w:w="1087" w:type="dxa"/>
          </w:tcPr>
          <w:p w14:paraId="5FD84760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195C98">
              <w:rPr>
                <w:rFonts w:eastAsia="Times New Roman" w:cstheme="minorHAnsi"/>
                <w:b/>
                <w:bCs/>
                <w:lang w:val="en-GB" w:eastAsia="fi-FI"/>
              </w:rPr>
              <w:t>*Ratio (90% CI)</w:t>
            </w:r>
          </w:p>
          <w:p w14:paraId="07372983" w14:textId="77777777" w:rsidR="009A5EA9" w:rsidRPr="00195C98" w:rsidRDefault="009A5EA9" w:rsidP="0089386D">
            <w:pPr>
              <w:spacing w:after="0" w:line="240" w:lineRule="auto"/>
              <w:rPr>
                <w:rFonts w:eastAsia="Times New Roman" w:cstheme="minorHAnsi"/>
                <w:b/>
                <w:bCs/>
                <w:lang w:val="en-GB" w:eastAsia="fi-FI"/>
              </w:rPr>
            </w:pPr>
          </w:p>
        </w:tc>
        <w:tc>
          <w:tcPr>
            <w:tcW w:w="1800" w:type="dxa"/>
            <w:gridSpan w:val="2"/>
          </w:tcPr>
          <w:p w14:paraId="73EC106E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 xml:space="preserve">96.48 </w:t>
            </w:r>
          </w:p>
          <w:p w14:paraId="6A402ED3" w14:textId="4583FF75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(81.34-122.95)</w:t>
            </w:r>
          </w:p>
        </w:tc>
        <w:tc>
          <w:tcPr>
            <w:tcW w:w="2922" w:type="dxa"/>
          </w:tcPr>
          <w:p w14:paraId="7CCD8409" w14:textId="77777777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96.11</w:t>
            </w:r>
          </w:p>
          <w:p w14:paraId="2297DF4F" w14:textId="767E5019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(81.90-122.84)</w:t>
            </w:r>
          </w:p>
        </w:tc>
        <w:tc>
          <w:tcPr>
            <w:tcW w:w="2922" w:type="dxa"/>
          </w:tcPr>
          <w:p w14:paraId="1FCD8441" w14:textId="729A400B" w:rsidR="009A5EA9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 xml:space="preserve">107.71 </w:t>
            </w:r>
          </w:p>
          <w:p w14:paraId="3B51433F" w14:textId="68AEB420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  <w:r>
              <w:rPr>
                <w:rFonts w:eastAsia="Times New Roman" w:cstheme="minorHAnsi"/>
                <w:lang w:val="en-GB" w:eastAsia="fi-FI"/>
              </w:rPr>
              <w:t>(81.07-118.63)</w:t>
            </w:r>
          </w:p>
        </w:tc>
        <w:tc>
          <w:tcPr>
            <w:tcW w:w="1192" w:type="dxa"/>
          </w:tcPr>
          <w:p w14:paraId="378DA59F" w14:textId="77777777" w:rsidR="009A5EA9" w:rsidRPr="00195C98" w:rsidRDefault="009A5EA9" w:rsidP="0089386D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fi-FI"/>
              </w:rPr>
            </w:pPr>
          </w:p>
        </w:tc>
      </w:tr>
      <w:tr w:rsidR="009A5EA9" w:rsidRPr="00F44B8C" w14:paraId="2970DD56" w14:textId="77777777" w:rsidTr="009A5EA9">
        <w:trPr>
          <w:jc w:val="center"/>
        </w:trPr>
        <w:tc>
          <w:tcPr>
            <w:tcW w:w="2210" w:type="dxa"/>
            <w:gridSpan w:val="2"/>
          </w:tcPr>
          <w:p w14:paraId="41CDC3D9" w14:textId="77777777" w:rsidR="009A5EA9" w:rsidRPr="00195C98" w:rsidRDefault="009A5EA9" w:rsidP="0089386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713" w:type="dxa"/>
            <w:gridSpan w:val="4"/>
          </w:tcPr>
          <w:p w14:paraId="36825C3A" w14:textId="375E902C" w:rsidR="009A5EA9" w:rsidRPr="00195C98" w:rsidRDefault="009A5EA9" w:rsidP="0089386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  <w:r w:rsidRPr="00195C98">
              <w:rPr>
                <w:rFonts w:cstheme="minorHAnsi"/>
                <w:b/>
                <w:bCs/>
                <w:sz w:val="16"/>
                <w:szCs w:val="16"/>
              </w:rPr>
              <w:t>AUC</w:t>
            </w:r>
            <w:r w:rsidRPr="00195C98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0-t</w:t>
            </w:r>
            <w:r w:rsidRPr="00195C98">
              <w:rPr>
                <w:rFonts w:cstheme="minorHAnsi"/>
                <w:b/>
                <w:sz w:val="16"/>
                <w:szCs w:val="16"/>
                <w:vertAlign w:val="subscript"/>
              </w:rPr>
              <w:t xml:space="preserve"> </w:t>
            </w:r>
            <w:r w:rsidRPr="00195C98">
              <w:rPr>
                <w:rFonts w:cstheme="minorHAnsi"/>
                <w:b/>
                <w:sz w:val="16"/>
                <w:szCs w:val="16"/>
                <w:vertAlign w:val="subscript"/>
              </w:rPr>
              <w:tab/>
            </w:r>
            <w:r w:rsidRPr="00195C98">
              <w:rPr>
                <w:rFonts w:cstheme="minorHAnsi"/>
                <w:sz w:val="16"/>
                <w:szCs w:val="16"/>
              </w:rPr>
              <w:t>Area sotto la curva dal tempo zero al tempo t</w:t>
            </w:r>
          </w:p>
          <w:p w14:paraId="4218FEC7" w14:textId="77777777" w:rsidR="009A5EA9" w:rsidRPr="00195C98" w:rsidRDefault="009A5EA9" w:rsidP="0089386D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195C98">
              <w:rPr>
                <w:rFonts w:cstheme="minorHAnsi"/>
                <w:b/>
                <w:bCs/>
                <w:sz w:val="16"/>
                <w:szCs w:val="16"/>
              </w:rPr>
              <w:t>C</w:t>
            </w:r>
            <w:r w:rsidRPr="00195C98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max</w:t>
            </w:r>
            <w:proofErr w:type="spellEnd"/>
            <w:r w:rsidRPr="00195C98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195C98">
              <w:rPr>
                <w:rFonts w:cstheme="minorHAnsi"/>
                <w:b/>
                <w:sz w:val="16"/>
                <w:szCs w:val="16"/>
              </w:rPr>
              <w:tab/>
            </w:r>
            <w:r w:rsidRPr="00195C98">
              <w:rPr>
                <w:rFonts w:cstheme="minorHAnsi"/>
                <w:sz w:val="16"/>
                <w:szCs w:val="16"/>
              </w:rPr>
              <w:t>Concentrazione plasmatica massima</w:t>
            </w:r>
            <w:r w:rsidRPr="00195C98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53F2ECBC" w14:textId="77777777" w:rsidR="009A5EA9" w:rsidRPr="00195C98" w:rsidRDefault="009A5EA9" w:rsidP="0089386D">
            <w:pPr>
              <w:tabs>
                <w:tab w:val="center" w:pos="4429"/>
              </w:tabs>
              <w:spacing w:after="0" w:line="240" w:lineRule="auto"/>
              <w:rPr>
                <w:rFonts w:eastAsia="Times New Roman" w:cstheme="minorHAnsi"/>
                <w:lang w:eastAsia="fi-FI"/>
              </w:rPr>
            </w:pPr>
            <w:proofErr w:type="spellStart"/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lang w:eastAsia="fi-FI"/>
              </w:rPr>
              <w:t>t</w:t>
            </w:r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vertAlign w:val="subscript"/>
                <w:lang w:eastAsia="fi-FI"/>
              </w:rPr>
              <w:t>max</w:t>
            </w:r>
            <w:proofErr w:type="spellEnd"/>
            <w:r w:rsidRPr="00195C98">
              <w:rPr>
                <w:rFonts w:eastAsia="Times New Roman" w:cstheme="minorHAnsi"/>
                <w:b/>
                <w:bCs/>
                <w:sz w:val="16"/>
                <w:szCs w:val="16"/>
                <w:lang w:eastAsia="fi-FI"/>
              </w:rPr>
              <w:t xml:space="preserve">            </w:t>
            </w:r>
            <w:r w:rsidRPr="00195C98">
              <w:rPr>
                <w:rFonts w:eastAsia="Times New Roman" w:cstheme="minorHAnsi"/>
                <w:sz w:val="16"/>
                <w:szCs w:val="16"/>
              </w:rPr>
              <w:t>Tempo al picco di concentrazione plasmatica</w:t>
            </w:r>
          </w:p>
        </w:tc>
      </w:tr>
    </w:tbl>
    <w:p w14:paraId="4728AF5C" w14:textId="77777777" w:rsidR="005049A1" w:rsidRPr="00A31CC1" w:rsidRDefault="005049A1" w:rsidP="005049A1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EDC26F9" w14:textId="77777777" w:rsidR="005049A1" w:rsidRPr="00A31CC1" w:rsidRDefault="005049A1" w:rsidP="005049A1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i/>
          <w:sz w:val="24"/>
          <w:szCs w:val="24"/>
        </w:rPr>
        <w:t xml:space="preserve">Conclusioni sulla </w:t>
      </w:r>
      <w:proofErr w:type="spellStart"/>
      <w:r w:rsidRPr="00A31CC1">
        <w:rPr>
          <w:rFonts w:cstheme="minorHAnsi"/>
          <w:i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5ED01465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 risultati degli studi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mostrano che gli intervalli di confidenza dei parametri farmacocinetici studiati cadono nel </w:t>
      </w:r>
      <w:proofErr w:type="spellStart"/>
      <w:r w:rsidRPr="001C019B">
        <w:rPr>
          <w:rFonts w:cstheme="minorHAnsi"/>
          <w:i/>
          <w:sz w:val="24"/>
          <w:szCs w:val="24"/>
        </w:rPr>
        <w:t>range</w:t>
      </w:r>
      <w:proofErr w:type="spellEnd"/>
      <w:r w:rsidRPr="00A31CC1">
        <w:rPr>
          <w:rFonts w:cstheme="minorHAnsi"/>
          <w:sz w:val="24"/>
          <w:szCs w:val="24"/>
        </w:rPr>
        <w:t xml:space="preserve"> di accettabilità di 80-125%, in accordo con le linee guida correnti.</w:t>
      </w:r>
    </w:p>
    <w:p w14:paraId="6FAB3CEE" w14:textId="77777777" w:rsidR="0078680B" w:rsidRPr="00A31CC1" w:rsidRDefault="0078680B" w:rsidP="00A47604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33CE9A1C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5923175F" w14:textId="6B31F214" w:rsidR="000E3048" w:rsidRPr="00A31CC1" w:rsidRDefault="000E3048" w:rsidP="000E304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>Non sono stati presentati nuovi dati di efficacia e sicurezza clinica: il profilo di sicurezza e l’efficacia del principi</w:t>
      </w:r>
      <w:r w:rsidR="004F517E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4F517E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proofErr w:type="spellStart"/>
      <w:r w:rsidR="004F517E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29CEE351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green"/>
        </w:rPr>
      </w:pPr>
    </w:p>
    <w:p w14:paraId="12311AE2" w14:textId="77777777" w:rsidR="004E5A39" w:rsidRPr="009D4862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9D4862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9D4862">
        <w:rPr>
          <w:rFonts w:cstheme="minorHAnsi"/>
          <w:b/>
          <w:i/>
          <w:sz w:val="24"/>
          <w:szCs w:val="24"/>
        </w:rPr>
        <w:t>Risk</w:t>
      </w:r>
      <w:proofErr w:type="spellEnd"/>
      <w:r w:rsidRPr="009D4862">
        <w:rPr>
          <w:rFonts w:cstheme="minorHAnsi"/>
          <w:b/>
          <w:i/>
          <w:sz w:val="24"/>
          <w:szCs w:val="24"/>
        </w:rPr>
        <w:t xml:space="preserve"> Management Plan</w:t>
      </w:r>
      <w:r w:rsidRPr="009D4862">
        <w:rPr>
          <w:rFonts w:cstheme="minorHAnsi"/>
          <w:b/>
          <w:sz w:val="24"/>
          <w:szCs w:val="24"/>
        </w:rPr>
        <w:t xml:space="preserve"> - RMP)</w:t>
      </w:r>
    </w:p>
    <w:p w14:paraId="00E11AA9" w14:textId="496FE945" w:rsidR="004E5A39" w:rsidRPr="009D4862" w:rsidRDefault="006070E8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9D4862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9D4862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4E5A39" w:rsidRPr="009D4862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9D4862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0808A3" w:rsidRPr="009D4862">
        <w:rPr>
          <w:rFonts w:eastAsia="Calibri" w:cstheme="minorHAnsi"/>
          <w:color w:val="000000"/>
          <w:sz w:val="24"/>
          <w:szCs w:val="24"/>
          <w:lang w:eastAsia="it-IT"/>
        </w:rPr>
        <w:t>&lt;</w:t>
      </w:r>
      <w:r w:rsidR="00B51571" w:rsidRPr="009D4862">
        <w:rPr>
          <w:rFonts w:eastAsia="Calibri" w:cstheme="minorHAnsi"/>
          <w:color w:val="000000"/>
          <w:sz w:val="24"/>
          <w:szCs w:val="24"/>
          <w:lang w:eastAsia="it-IT"/>
        </w:rPr>
        <w:t>denominazione</w:t>
      </w:r>
      <w:r w:rsidR="000808A3" w:rsidRPr="009D4862">
        <w:rPr>
          <w:rFonts w:eastAsia="Calibri" w:cstheme="minorHAnsi"/>
          <w:color w:val="000000"/>
          <w:sz w:val="24"/>
          <w:szCs w:val="24"/>
          <w:lang w:eastAsia="it-IT"/>
        </w:rPr>
        <w:t xml:space="preserve"> medicinale&gt;</w:t>
      </w:r>
      <w:r w:rsidR="004E5A39" w:rsidRPr="009D4862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9D4862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9D4862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9D4862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304"/>
        <w:gridCol w:w="6024"/>
      </w:tblGrid>
      <w:tr w:rsidR="00265B61" w:rsidRPr="009D4862" w14:paraId="22971590" w14:textId="77777777" w:rsidTr="00C67DAB">
        <w:trPr>
          <w:jc w:val="center"/>
        </w:trPr>
        <w:tc>
          <w:tcPr>
            <w:tcW w:w="1771" w:type="pct"/>
            <w:shd w:val="clear" w:color="auto" w:fill="auto"/>
          </w:tcPr>
          <w:p w14:paraId="1F62F5AA" w14:textId="77777777" w:rsidR="00265B61" w:rsidRPr="009D486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229" w:type="pct"/>
            <w:shd w:val="clear" w:color="auto" w:fill="auto"/>
          </w:tcPr>
          <w:p w14:paraId="32773773" w14:textId="201BD634" w:rsidR="00265B61" w:rsidRPr="009D4862" w:rsidRDefault="00C67DAB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D4862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9D4862" w14:paraId="7C02AC11" w14:textId="77777777" w:rsidTr="00C67DAB">
        <w:trPr>
          <w:jc w:val="center"/>
        </w:trPr>
        <w:tc>
          <w:tcPr>
            <w:tcW w:w="17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9D486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BE8BB6" w14:textId="7F7CD3FF" w:rsidR="00265B61" w:rsidRPr="009D4862" w:rsidRDefault="00C67DAB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9D4862">
              <w:rPr>
                <w:rFonts w:cstheme="minorHAnsi"/>
                <w:sz w:val="24"/>
                <w:szCs w:val="24"/>
                <w:lang w:eastAsia="en-GB"/>
              </w:rPr>
              <w:t>nessuno</w:t>
            </w:r>
          </w:p>
        </w:tc>
      </w:tr>
      <w:tr w:rsidR="00265B61" w:rsidRPr="009D4862" w14:paraId="6C134585" w14:textId="77777777" w:rsidTr="00C67DAB">
        <w:trPr>
          <w:jc w:val="center"/>
        </w:trPr>
        <w:tc>
          <w:tcPr>
            <w:tcW w:w="177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9D486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D4862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2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6B5FD735" w:rsidR="00265B61" w:rsidRPr="009D4862" w:rsidRDefault="00C67DAB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D4862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3A5EEB97" w14:textId="77777777" w:rsidR="00265B61" w:rsidRPr="009D4862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680C576" w14:textId="77777777" w:rsidR="004E5A39" w:rsidRPr="009D4862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D4862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77777777" w:rsidR="00461D93" w:rsidRPr="009D4862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4862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9D4862">
        <w:rPr>
          <w:rFonts w:cstheme="minorHAnsi"/>
          <w:sz w:val="24"/>
          <w:szCs w:val="24"/>
        </w:rPr>
        <w:t xml:space="preserve">. </w:t>
      </w:r>
    </w:p>
    <w:p w14:paraId="4BFDF567" w14:textId="77777777" w:rsidR="004E5A39" w:rsidRPr="009D4862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6CB5D555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D4862">
        <w:rPr>
          <w:rFonts w:cstheme="minorHAnsi"/>
          <w:sz w:val="24"/>
          <w:szCs w:val="24"/>
        </w:rPr>
        <w:t xml:space="preserve">Per maggiori dettagli circa le attività di farmacovigilanza previste per </w:t>
      </w:r>
      <w:proofErr w:type="spellStart"/>
      <w:r w:rsidR="00052E53" w:rsidRPr="009D4862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Pr="009D4862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9D4862">
        <w:rPr>
          <w:rFonts w:cstheme="minorHAnsi"/>
          <w:sz w:val="24"/>
          <w:szCs w:val="24"/>
        </w:rPr>
        <w:t xml:space="preserve"> </w:t>
      </w:r>
      <w:r w:rsidR="009568D6" w:rsidRPr="009D4862">
        <w:rPr>
          <w:rFonts w:cstheme="minorHAnsi"/>
          <w:sz w:val="24"/>
          <w:szCs w:val="24"/>
        </w:rPr>
        <w:t>“</w:t>
      </w:r>
      <w:proofErr w:type="spellStart"/>
      <w:r w:rsidR="009568D6" w:rsidRPr="009D4862">
        <w:rPr>
          <w:rFonts w:cstheme="minorHAnsi"/>
          <w:sz w:val="24"/>
          <w:szCs w:val="24"/>
        </w:rPr>
        <w:t>Summary</w:t>
      </w:r>
      <w:proofErr w:type="spellEnd"/>
      <w:r w:rsidR="009568D6" w:rsidRPr="009D4862">
        <w:rPr>
          <w:rFonts w:cstheme="minorHAnsi"/>
          <w:sz w:val="24"/>
          <w:szCs w:val="24"/>
        </w:rPr>
        <w:t xml:space="preserve"> </w:t>
      </w:r>
      <w:r w:rsidRPr="009D4862">
        <w:rPr>
          <w:rFonts w:cstheme="minorHAnsi"/>
          <w:sz w:val="24"/>
          <w:szCs w:val="24"/>
        </w:rPr>
        <w:t>RMP</w:t>
      </w:r>
      <w:r w:rsidR="009568D6" w:rsidRPr="009D4862">
        <w:rPr>
          <w:rFonts w:cstheme="minorHAnsi"/>
          <w:sz w:val="24"/>
          <w:szCs w:val="24"/>
        </w:rPr>
        <w:t>” allegato.</w:t>
      </w:r>
    </w:p>
    <w:p w14:paraId="700FC2DC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0BBC4FC9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proofErr w:type="spellStart"/>
      <w:r w:rsidR="0073684E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4637F38B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proofErr w:type="spellStart"/>
      <w:r w:rsidR="0073684E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EA1FE2B" w14:textId="565E6D9C" w:rsidR="004E5A39" w:rsidRDefault="004E5A39" w:rsidP="00BE06B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F9FEBB6" w14:textId="77777777" w:rsidR="00BE06B6" w:rsidRPr="00A31CC1" w:rsidRDefault="00BE06B6" w:rsidP="00BE06B6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0EBA0645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proofErr w:type="spellStart"/>
      <w:r w:rsidR="00BE06B6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AED0C" w14:textId="4D166B29" w:rsidR="00BE7CDB" w:rsidRPr="00A31CC1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e le sue conclusioni confermano che </w:t>
      </w:r>
      <w:proofErr w:type="spellStart"/>
      <w:r w:rsidR="006070E8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il medicinale di riferimento </w:t>
      </w:r>
      <w:proofErr w:type="spellStart"/>
      <w:r w:rsidR="006070E8">
        <w:rPr>
          <w:rFonts w:cstheme="minorHAnsi"/>
          <w:sz w:val="24"/>
          <w:szCs w:val="24"/>
        </w:rPr>
        <w:t>Seroxat</w:t>
      </w:r>
      <w:proofErr w:type="spellEnd"/>
      <w:r w:rsidR="00071E63" w:rsidRPr="00A31CC1">
        <w:rPr>
          <w:rFonts w:cstheme="minorHAnsi"/>
          <w:sz w:val="24"/>
          <w:szCs w:val="24"/>
        </w:rPr>
        <w:t xml:space="preserve"> </w:t>
      </w:r>
      <w:r w:rsidR="00F90F1F" w:rsidRPr="00A31CC1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3C8A706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proofErr w:type="spellStart"/>
      <w:r w:rsidR="00BE06B6">
        <w:rPr>
          <w:rFonts w:eastAsia="Calibri" w:cstheme="minorHAnsi"/>
          <w:color w:val="000000"/>
          <w:sz w:val="24"/>
          <w:szCs w:val="24"/>
          <w:lang w:eastAsia="it-IT"/>
        </w:rPr>
        <w:t>Arzinka</w:t>
      </w:r>
      <w:proofErr w:type="spellEnd"/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656A3E3C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2" w:anchor="/it/" w:history="1">
        <w:r w:rsidR="00410F56" w:rsidRPr="0070540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65CAC" w14:textId="77777777" w:rsidR="00C30F07" w:rsidRDefault="00C30F07" w:rsidP="00C07183">
      <w:pPr>
        <w:spacing w:after="0" w:line="240" w:lineRule="auto"/>
      </w:pPr>
      <w:r>
        <w:separator/>
      </w:r>
    </w:p>
  </w:endnote>
  <w:endnote w:type="continuationSeparator" w:id="0">
    <w:p w14:paraId="38F33A47" w14:textId="77777777" w:rsidR="00C30F07" w:rsidRDefault="00C30F07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77777777" w:rsidR="00B92328" w:rsidRDefault="00B92328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939F4" w14:textId="77777777" w:rsidR="00C30F07" w:rsidRDefault="00C30F07" w:rsidP="00C07183">
      <w:pPr>
        <w:spacing w:after="0" w:line="240" w:lineRule="auto"/>
      </w:pPr>
      <w:r>
        <w:separator/>
      </w:r>
    </w:p>
  </w:footnote>
  <w:footnote w:type="continuationSeparator" w:id="0">
    <w:p w14:paraId="6CC8CEF0" w14:textId="77777777" w:rsidR="00C30F07" w:rsidRDefault="00C30F07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1293F"/>
    <w:multiLevelType w:val="hybridMultilevel"/>
    <w:tmpl w:val="3910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174B7"/>
    <w:rsid w:val="0002205E"/>
    <w:rsid w:val="00022511"/>
    <w:rsid w:val="00022F32"/>
    <w:rsid w:val="00023CEA"/>
    <w:rsid w:val="00035DB7"/>
    <w:rsid w:val="00042965"/>
    <w:rsid w:val="00043E43"/>
    <w:rsid w:val="00050E3F"/>
    <w:rsid w:val="00050F6A"/>
    <w:rsid w:val="00052E53"/>
    <w:rsid w:val="00062636"/>
    <w:rsid w:val="00062CE1"/>
    <w:rsid w:val="00067514"/>
    <w:rsid w:val="00071E63"/>
    <w:rsid w:val="000759F6"/>
    <w:rsid w:val="000808A3"/>
    <w:rsid w:val="000A039F"/>
    <w:rsid w:val="000A4BA1"/>
    <w:rsid w:val="000B7AC8"/>
    <w:rsid w:val="000C1389"/>
    <w:rsid w:val="000D6FF9"/>
    <w:rsid w:val="000D7099"/>
    <w:rsid w:val="000E1F86"/>
    <w:rsid w:val="000E3048"/>
    <w:rsid w:val="000E4494"/>
    <w:rsid w:val="000E4A73"/>
    <w:rsid w:val="000E6961"/>
    <w:rsid w:val="000F658F"/>
    <w:rsid w:val="00111E9E"/>
    <w:rsid w:val="00112B76"/>
    <w:rsid w:val="00126BC8"/>
    <w:rsid w:val="00127490"/>
    <w:rsid w:val="001334B1"/>
    <w:rsid w:val="00137392"/>
    <w:rsid w:val="0013747A"/>
    <w:rsid w:val="001460CA"/>
    <w:rsid w:val="00172AED"/>
    <w:rsid w:val="00196DBB"/>
    <w:rsid w:val="001A516D"/>
    <w:rsid w:val="001B2799"/>
    <w:rsid w:val="001B599D"/>
    <w:rsid w:val="001C019B"/>
    <w:rsid w:val="001C15DF"/>
    <w:rsid w:val="001C4323"/>
    <w:rsid w:val="001D0ADA"/>
    <w:rsid w:val="001F0D20"/>
    <w:rsid w:val="001F5E2F"/>
    <w:rsid w:val="0021736D"/>
    <w:rsid w:val="00233235"/>
    <w:rsid w:val="00243447"/>
    <w:rsid w:val="00245B04"/>
    <w:rsid w:val="00252FE8"/>
    <w:rsid w:val="00254828"/>
    <w:rsid w:val="002554FE"/>
    <w:rsid w:val="002563CF"/>
    <w:rsid w:val="00257478"/>
    <w:rsid w:val="00265B61"/>
    <w:rsid w:val="00277A0E"/>
    <w:rsid w:val="002919AF"/>
    <w:rsid w:val="002929BB"/>
    <w:rsid w:val="00295EEA"/>
    <w:rsid w:val="00297F10"/>
    <w:rsid w:val="002A1800"/>
    <w:rsid w:val="002A3CF3"/>
    <w:rsid w:val="002B662A"/>
    <w:rsid w:val="002C2324"/>
    <w:rsid w:val="002C2D9F"/>
    <w:rsid w:val="002C5DC8"/>
    <w:rsid w:val="002F0676"/>
    <w:rsid w:val="002F2543"/>
    <w:rsid w:val="002F4000"/>
    <w:rsid w:val="00300BEA"/>
    <w:rsid w:val="00302265"/>
    <w:rsid w:val="00305B55"/>
    <w:rsid w:val="003061E0"/>
    <w:rsid w:val="00315C87"/>
    <w:rsid w:val="00323648"/>
    <w:rsid w:val="003238CF"/>
    <w:rsid w:val="00330DFA"/>
    <w:rsid w:val="00336E18"/>
    <w:rsid w:val="00340DC4"/>
    <w:rsid w:val="00341FBE"/>
    <w:rsid w:val="003460E9"/>
    <w:rsid w:val="003544C6"/>
    <w:rsid w:val="00354880"/>
    <w:rsid w:val="00367CE0"/>
    <w:rsid w:val="00387CA8"/>
    <w:rsid w:val="003949F9"/>
    <w:rsid w:val="003A2A39"/>
    <w:rsid w:val="003A5B78"/>
    <w:rsid w:val="003B0421"/>
    <w:rsid w:val="003B51D0"/>
    <w:rsid w:val="003B68D5"/>
    <w:rsid w:val="003C054E"/>
    <w:rsid w:val="003D06B5"/>
    <w:rsid w:val="003E1E83"/>
    <w:rsid w:val="003F1188"/>
    <w:rsid w:val="00410F56"/>
    <w:rsid w:val="0041387F"/>
    <w:rsid w:val="004214DB"/>
    <w:rsid w:val="0042214D"/>
    <w:rsid w:val="00423A97"/>
    <w:rsid w:val="004241AC"/>
    <w:rsid w:val="00442A9D"/>
    <w:rsid w:val="00444D4D"/>
    <w:rsid w:val="00445DB2"/>
    <w:rsid w:val="00446C7B"/>
    <w:rsid w:val="004509BC"/>
    <w:rsid w:val="00451285"/>
    <w:rsid w:val="004532E2"/>
    <w:rsid w:val="004609F8"/>
    <w:rsid w:val="00461D93"/>
    <w:rsid w:val="004631F3"/>
    <w:rsid w:val="00473134"/>
    <w:rsid w:val="00482C32"/>
    <w:rsid w:val="004832FF"/>
    <w:rsid w:val="00483565"/>
    <w:rsid w:val="004B20A8"/>
    <w:rsid w:val="004B23EE"/>
    <w:rsid w:val="004B5B15"/>
    <w:rsid w:val="004D065B"/>
    <w:rsid w:val="004D4AC2"/>
    <w:rsid w:val="004E28E5"/>
    <w:rsid w:val="004E5A39"/>
    <w:rsid w:val="004E70F5"/>
    <w:rsid w:val="004F343B"/>
    <w:rsid w:val="004F517E"/>
    <w:rsid w:val="00500ACA"/>
    <w:rsid w:val="005049A1"/>
    <w:rsid w:val="00504FC1"/>
    <w:rsid w:val="005103BA"/>
    <w:rsid w:val="00517C1E"/>
    <w:rsid w:val="005250B6"/>
    <w:rsid w:val="005256F6"/>
    <w:rsid w:val="00537A5D"/>
    <w:rsid w:val="005553B1"/>
    <w:rsid w:val="0056372C"/>
    <w:rsid w:val="00567615"/>
    <w:rsid w:val="005744D4"/>
    <w:rsid w:val="00577746"/>
    <w:rsid w:val="00577DAC"/>
    <w:rsid w:val="005826A6"/>
    <w:rsid w:val="005950D6"/>
    <w:rsid w:val="005A21C4"/>
    <w:rsid w:val="005A466E"/>
    <w:rsid w:val="005A4BBD"/>
    <w:rsid w:val="005B4C97"/>
    <w:rsid w:val="005C2427"/>
    <w:rsid w:val="005C45B7"/>
    <w:rsid w:val="005D18E5"/>
    <w:rsid w:val="005F3CE0"/>
    <w:rsid w:val="005F54B1"/>
    <w:rsid w:val="006070E8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6F3"/>
    <w:rsid w:val="006727BD"/>
    <w:rsid w:val="006A117F"/>
    <w:rsid w:val="006A202B"/>
    <w:rsid w:val="006A3A37"/>
    <w:rsid w:val="006B311C"/>
    <w:rsid w:val="006B3E12"/>
    <w:rsid w:val="006C0722"/>
    <w:rsid w:val="006C08B4"/>
    <w:rsid w:val="006C5811"/>
    <w:rsid w:val="006D7B8C"/>
    <w:rsid w:val="006E4401"/>
    <w:rsid w:val="006F44C7"/>
    <w:rsid w:val="006F4B7A"/>
    <w:rsid w:val="00712672"/>
    <w:rsid w:val="00712DB3"/>
    <w:rsid w:val="00716DF5"/>
    <w:rsid w:val="007170D7"/>
    <w:rsid w:val="007221B6"/>
    <w:rsid w:val="0073684E"/>
    <w:rsid w:val="00745609"/>
    <w:rsid w:val="00747E46"/>
    <w:rsid w:val="00753B99"/>
    <w:rsid w:val="00766E26"/>
    <w:rsid w:val="00777848"/>
    <w:rsid w:val="0078608F"/>
    <w:rsid w:val="0078680B"/>
    <w:rsid w:val="00797416"/>
    <w:rsid w:val="007A1C0E"/>
    <w:rsid w:val="007C0622"/>
    <w:rsid w:val="007D2539"/>
    <w:rsid w:val="007D6970"/>
    <w:rsid w:val="007E4E98"/>
    <w:rsid w:val="0081009B"/>
    <w:rsid w:val="00811B01"/>
    <w:rsid w:val="00812732"/>
    <w:rsid w:val="00823F4C"/>
    <w:rsid w:val="00836C3F"/>
    <w:rsid w:val="008375CF"/>
    <w:rsid w:val="00842B10"/>
    <w:rsid w:val="008435D1"/>
    <w:rsid w:val="00853EC6"/>
    <w:rsid w:val="008547B3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117D"/>
    <w:rsid w:val="00906E7B"/>
    <w:rsid w:val="0092139B"/>
    <w:rsid w:val="009232AA"/>
    <w:rsid w:val="0092507E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A5361"/>
    <w:rsid w:val="009A5EA9"/>
    <w:rsid w:val="009B03DB"/>
    <w:rsid w:val="009B1E44"/>
    <w:rsid w:val="009C1CCA"/>
    <w:rsid w:val="009C3E8B"/>
    <w:rsid w:val="009C55D5"/>
    <w:rsid w:val="009D1E73"/>
    <w:rsid w:val="009D3446"/>
    <w:rsid w:val="009D4862"/>
    <w:rsid w:val="009E0140"/>
    <w:rsid w:val="009E2BC0"/>
    <w:rsid w:val="009F3867"/>
    <w:rsid w:val="009F395B"/>
    <w:rsid w:val="009F3DC0"/>
    <w:rsid w:val="009F5439"/>
    <w:rsid w:val="009F584E"/>
    <w:rsid w:val="00A01AB1"/>
    <w:rsid w:val="00A03645"/>
    <w:rsid w:val="00A04270"/>
    <w:rsid w:val="00A046AC"/>
    <w:rsid w:val="00A11FD6"/>
    <w:rsid w:val="00A247C5"/>
    <w:rsid w:val="00A31CC1"/>
    <w:rsid w:val="00A31F6B"/>
    <w:rsid w:val="00A40FF3"/>
    <w:rsid w:val="00A47604"/>
    <w:rsid w:val="00A51EB3"/>
    <w:rsid w:val="00A62D55"/>
    <w:rsid w:val="00A77EEF"/>
    <w:rsid w:val="00A83AB4"/>
    <w:rsid w:val="00A84362"/>
    <w:rsid w:val="00A86F5A"/>
    <w:rsid w:val="00A908B9"/>
    <w:rsid w:val="00A9183F"/>
    <w:rsid w:val="00A9321C"/>
    <w:rsid w:val="00A966D1"/>
    <w:rsid w:val="00AA516E"/>
    <w:rsid w:val="00AA72EE"/>
    <w:rsid w:val="00AC3E39"/>
    <w:rsid w:val="00AC586B"/>
    <w:rsid w:val="00AD051C"/>
    <w:rsid w:val="00AD4BE6"/>
    <w:rsid w:val="00AF52E2"/>
    <w:rsid w:val="00B023E9"/>
    <w:rsid w:val="00B02C80"/>
    <w:rsid w:val="00B03E01"/>
    <w:rsid w:val="00B06D38"/>
    <w:rsid w:val="00B1186F"/>
    <w:rsid w:val="00B15135"/>
    <w:rsid w:val="00B229D9"/>
    <w:rsid w:val="00B30431"/>
    <w:rsid w:val="00B445E0"/>
    <w:rsid w:val="00B51571"/>
    <w:rsid w:val="00B83360"/>
    <w:rsid w:val="00B85023"/>
    <w:rsid w:val="00B862CA"/>
    <w:rsid w:val="00B92328"/>
    <w:rsid w:val="00B972C2"/>
    <w:rsid w:val="00BA0ACD"/>
    <w:rsid w:val="00BA0D1B"/>
    <w:rsid w:val="00BA4400"/>
    <w:rsid w:val="00BB2AF8"/>
    <w:rsid w:val="00BB7B54"/>
    <w:rsid w:val="00BC561B"/>
    <w:rsid w:val="00BC74C2"/>
    <w:rsid w:val="00BD39EB"/>
    <w:rsid w:val="00BE06B6"/>
    <w:rsid w:val="00BE092E"/>
    <w:rsid w:val="00BE7CDB"/>
    <w:rsid w:val="00BF55B9"/>
    <w:rsid w:val="00BF7A42"/>
    <w:rsid w:val="00C00346"/>
    <w:rsid w:val="00C01A1C"/>
    <w:rsid w:val="00C058E1"/>
    <w:rsid w:val="00C07183"/>
    <w:rsid w:val="00C17BE2"/>
    <w:rsid w:val="00C244DE"/>
    <w:rsid w:val="00C2462C"/>
    <w:rsid w:val="00C2565A"/>
    <w:rsid w:val="00C276E0"/>
    <w:rsid w:val="00C30F07"/>
    <w:rsid w:val="00C344A5"/>
    <w:rsid w:val="00C35B02"/>
    <w:rsid w:val="00C42AAC"/>
    <w:rsid w:val="00C50582"/>
    <w:rsid w:val="00C51EFC"/>
    <w:rsid w:val="00C51FF1"/>
    <w:rsid w:val="00C56FA9"/>
    <w:rsid w:val="00C65CEC"/>
    <w:rsid w:val="00C66144"/>
    <w:rsid w:val="00C66597"/>
    <w:rsid w:val="00C67DAB"/>
    <w:rsid w:val="00C74500"/>
    <w:rsid w:val="00C804DC"/>
    <w:rsid w:val="00C863D1"/>
    <w:rsid w:val="00CB187D"/>
    <w:rsid w:val="00CC1489"/>
    <w:rsid w:val="00CC3048"/>
    <w:rsid w:val="00CC52A3"/>
    <w:rsid w:val="00CC7AFF"/>
    <w:rsid w:val="00CE62A1"/>
    <w:rsid w:val="00CF08A6"/>
    <w:rsid w:val="00D20170"/>
    <w:rsid w:val="00D212AA"/>
    <w:rsid w:val="00D35062"/>
    <w:rsid w:val="00D36F9A"/>
    <w:rsid w:val="00D60600"/>
    <w:rsid w:val="00D6711E"/>
    <w:rsid w:val="00DB021E"/>
    <w:rsid w:val="00DB359A"/>
    <w:rsid w:val="00DB6CC1"/>
    <w:rsid w:val="00DC187E"/>
    <w:rsid w:val="00E02479"/>
    <w:rsid w:val="00E10D6C"/>
    <w:rsid w:val="00E14559"/>
    <w:rsid w:val="00E15DA5"/>
    <w:rsid w:val="00E207B1"/>
    <w:rsid w:val="00E20E87"/>
    <w:rsid w:val="00E25D34"/>
    <w:rsid w:val="00E26828"/>
    <w:rsid w:val="00E42578"/>
    <w:rsid w:val="00E43089"/>
    <w:rsid w:val="00E77B1B"/>
    <w:rsid w:val="00E83F8D"/>
    <w:rsid w:val="00E8749D"/>
    <w:rsid w:val="00E92D03"/>
    <w:rsid w:val="00EB4398"/>
    <w:rsid w:val="00EC3589"/>
    <w:rsid w:val="00ED19E3"/>
    <w:rsid w:val="00ED72E4"/>
    <w:rsid w:val="00EF062E"/>
    <w:rsid w:val="00EF3643"/>
    <w:rsid w:val="00EF6711"/>
    <w:rsid w:val="00F1246A"/>
    <w:rsid w:val="00F1580A"/>
    <w:rsid w:val="00F22A23"/>
    <w:rsid w:val="00F27C7F"/>
    <w:rsid w:val="00F35F38"/>
    <w:rsid w:val="00F46082"/>
    <w:rsid w:val="00F518EF"/>
    <w:rsid w:val="00F57679"/>
    <w:rsid w:val="00F66767"/>
    <w:rsid w:val="00F67DFC"/>
    <w:rsid w:val="00F70FE8"/>
    <w:rsid w:val="00F719AF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B48F6"/>
    <w:rsid w:val="00FC0183"/>
    <w:rsid w:val="00FD415D"/>
    <w:rsid w:val="00FF2DE3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C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7A6FF-41EE-4548-98AE-E0CF069A2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 Dario Davide</cp:lastModifiedBy>
  <cp:revision>4</cp:revision>
  <dcterms:created xsi:type="dcterms:W3CDTF">2025-12-03T11:17:00Z</dcterms:created>
  <dcterms:modified xsi:type="dcterms:W3CDTF">2025-12-09T16:15:00Z</dcterms:modified>
</cp:coreProperties>
</file>